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BB" w:rsidRPr="00741CBB" w:rsidRDefault="00741CBB" w:rsidP="00741CBB">
      <w:pPr>
        <w:jc w:val="center"/>
        <w:rPr>
          <w:rFonts w:asciiTheme="majorHAnsi" w:hAnsiTheme="majorHAnsi"/>
          <w:color w:val="173262" w:themeColor="accent1" w:themeShade="BF"/>
          <w:sz w:val="32"/>
          <w:u w:val="single"/>
          <w:lang w:val="en-US"/>
        </w:rPr>
      </w:pPr>
      <w:r w:rsidRPr="00741CBB">
        <w:rPr>
          <w:rFonts w:asciiTheme="majorHAnsi" w:hAnsiTheme="majorHAnsi"/>
          <w:color w:val="173262" w:themeColor="accent1" w:themeShade="BF"/>
          <w:sz w:val="32"/>
          <w:u w:val="single"/>
          <w:lang w:val="en-US"/>
        </w:rPr>
        <w:t xml:space="preserve">Participants are expected to fill the survey </w:t>
      </w:r>
      <w:r w:rsidRPr="00741CBB">
        <w:rPr>
          <w:rFonts w:asciiTheme="majorHAnsi" w:hAnsiTheme="majorHAnsi"/>
          <w:b/>
          <w:color w:val="173262" w:themeColor="accent1" w:themeShade="BF"/>
          <w:sz w:val="32"/>
          <w:u w:val="single"/>
          <w:lang w:val="en-US"/>
        </w:rPr>
        <w:t>online</w:t>
      </w:r>
      <w:r w:rsidRPr="00741CBB">
        <w:rPr>
          <w:rFonts w:asciiTheme="majorHAnsi" w:hAnsiTheme="majorHAnsi"/>
          <w:color w:val="173262" w:themeColor="accent1" w:themeShade="BF"/>
          <w:sz w:val="32"/>
          <w:u w:val="single"/>
          <w:lang w:val="en-US"/>
        </w:rPr>
        <w:t>.</w:t>
      </w:r>
    </w:p>
    <w:p w:rsidR="00741CBB" w:rsidRDefault="00741CBB" w:rsidP="00741CBB">
      <w:pPr>
        <w:jc w:val="center"/>
        <w:rPr>
          <w:rFonts w:asciiTheme="majorHAnsi" w:hAnsiTheme="majorHAnsi"/>
          <w:color w:val="173262" w:themeColor="accent1" w:themeShade="BF"/>
          <w:lang w:val="en-US"/>
        </w:rPr>
      </w:pPr>
    </w:p>
    <w:p w:rsidR="00741CBB" w:rsidRPr="00741CBB" w:rsidRDefault="00741CBB" w:rsidP="00741CBB">
      <w:pPr>
        <w:jc w:val="center"/>
        <w:rPr>
          <w:rStyle w:val="SubtleEmphasis"/>
          <w:b/>
          <w:i w:val="0"/>
          <w:iCs w:val="0"/>
          <w:sz w:val="20"/>
        </w:rPr>
      </w:pPr>
      <w:r w:rsidRPr="00741CBB">
        <w:rPr>
          <w:rFonts w:asciiTheme="majorHAnsi" w:hAnsiTheme="majorHAnsi"/>
          <w:color w:val="173262" w:themeColor="accent1" w:themeShade="BF"/>
          <w:lang w:val="en-US"/>
        </w:rPr>
        <w:t>This document has the only purpose to support them since the online survey doesn't offer the possibility to 'save halfway' and continue later</w:t>
      </w:r>
    </w:p>
    <w:p w:rsidR="00741CBB" w:rsidRDefault="00741CBB" w:rsidP="007D2E58">
      <w:pPr>
        <w:rPr>
          <w:rStyle w:val="SubtleEmphasis"/>
          <w:b/>
          <w:i w:val="0"/>
          <w:iCs w:val="0"/>
          <w:sz w:val="24"/>
        </w:rPr>
      </w:pPr>
    </w:p>
    <w:p w:rsidR="001B4B60" w:rsidRPr="001B4B60" w:rsidRDefault="001B4B60" w:rsidP="001B4B60">
      <w:pPr>
        <w:jc w:val="center"/>
        <w:rPr>
          <w:b/>
          <w:sz w:val="21"/>
          <w:szCs w:val="21"/>
        </w:rPr>
      </w:pPr>
      <w:r w:rsidRPr="001B4B60">
        <w:rPr>
          <w:b/>
          <w:sz w:val="21"/>
          <w:szCs w:val="21"/>
          <w:highlight w:val="lightGray"/>
        </w:rPr>
        <w:t>Note: the questions number starts from Q</w:t>
      </w:r>
      <w:r w:rsidRPr="001B4B60">
        <w:rPr>
          <w:b/>
          <w:sz w:val="21"/>
          <w:szCs w:val="21"/>
          <w:highlight w:val="lightGray"/>
        </w:rPr>
        <w:t>10</w:t>
      </w:r>
      <w:r w:rsidRPr="001B4B60">
        <w:rPr>
          <w:b/>
          <w:sz w:val="21"/>
          <w:szCs w:val="21"/>
          <w:highlight w:val="lightGray"/>
        </w:rPr>
        <w:t xml:space="preserve"> in order to correspond to the one in the </w:t>
      </w:r>
      <w:r w:rsidRPr="001B4B60">
        <w:rPr>
          <w:b/>
          <w:sz w:val="21"/>
          <w:szCs w:val="21"/>
          <w:highlight w:val="lightGray"/>
          <w:u w:val="single"/>
        </w:rPr>
        <w:t>questionnaire</w:t>
      </w:r>
      <w:r w:rsidRPr="001B4B60">
        <w:rPr>
          <w:b/>
          <w:sz w:val="21"/>
          <w:szCs w:val="21"/>
          <w:highlight w:val="lightGray"/>
        </w:rPr>
        <w:t>.</w:t>
      </w:r>
    </w:p>
    <w:p w:rsidR="001B4B60" w:rsidRDefault="001B4B60" w:rsidP="007D2E58">
      <w:pPr>
        <w:rPr>
          <w:rStyle w:val="SubtleEmphasis"/>
          <w:b/>
          <w:i w:val="0"/>
          <w:iCs w:val="0"/>
          <w:sz w:val="24"/>
        </w:rPr>
      </w:pPr>
    </w:p>
    <w:p w:rsidR="007E2E44" w:rsidRPr="005E725D" w:rsidRDefault="00741CBB" w:rsidP="007D2E58">
      <w:pPr>
        <w:rPr>
          <w:rStyle w:val="SubtleEmphasis"/>
          <w:i w:val="0"/>
          <w:iCs w:val="0"/>
          <w:sz w:val="24"/>
        </w:rPr>
      </w:pPr>
      <w:r>
        <w:rPr>
          <w:rStyle w:val="SubtleEmphasis"/>
          <w:b/>
          <w:i w:val="0"/>
          <w:iCs w:val="0"/>
          <w:sz w:val="24"/>
        </w:rPr>
        <w:t>Question 10</w:t>
      </w:r>
      <w:r w:rsidR="00B22E17" w:rsidRPr="005E725D">
        <w:rPr>
          <w:rStyle w:val="SubtleEmphasis"/>
          <w:b/>
          <w:i w:val="0"/>
          <w:iCs w:val="0"/>
          <w:sz w:val="24"/>
        </w:rPr>
        <w:t>:</w:t>
      </w:r>
      <w:r w:rsidR="00B22E17" w:rsidRPr="005E725D">
        <w:rPr>
          <w:rStyle w:val="SubtleEmphasis"/>
          <w:i w:val="0"/>
          <w:iCs w:val="0"/>
          <w:sz w:val="24"/>
        </w:rPr>
        <w:t xml:space="preserve"> Do you have further proposals for simplification of the CBA methodology document (please elaborate)?</w:t>
      </w:r>
    </w:p>
    <w:p w:rsidR="00B22E17" w:rsidRPr="005E725D" w:rsidRDefault="00B22E17" w:rsidP="007D2E58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7D2E58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1</w:t>
      </w:r>
      <w:r w:rsidR="00741CBB">
        <w:rPr>
          <w:rStyle w:val="SubtleEmphasis"/>
          <w:b/>
          <w:i w:val="0"/>
          <w:iCs w:val="0"/>
          <w:sz w:val="24"/>
        </w:rPr>
        <w:t>1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agree that the approach of using the TYNDP assessment of infrastructure needs which is performed for each new TYNDP edition to set the frame for the Project-specific assessment would ensure a focused and pragmatic approach (please elaborate)?</w:t>
      </w:r>
    </w:p>
    <w:p w:rsidR="00B22E17" w:rsidRPr="005E725D" w:rsidRDefault="00B22E17" w:rsidP="007D2E58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7D2E58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1</w:t>
      </w:r>
      <w:r w:rsidR="00741CBB">
        <w:rPr>
          <w:rStyle w:val="SubtleEmphasis"/>
          <w:b/>
          <w:i w:val="0"/>
          <w:iCs w:val="0"/>
          <w:sz w:val="24"/>
        </w:rPr>
        <w:t>2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Would you see some indicators as having limited additional value for CBA analysis? Which ones and for which reason (please elaborate)?</w:t>
      </w:r>
    </w:p>
    <w:p w:rsidR="00B22E17" w:rsidRPr="005E725D" w:rsidRDefault="00B22E17" w:rsidP="007D2E58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7D2E58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1</w:t>
      </w:r>
      <w:r w:rsidR="00741CBB">
        <w:rPr>
          <w:rStyle w:val="SubtleEmphasis"/>
          <w:b/>
          <w:i w:val="0"/>
          <w:iCs w:val="0"/>
          <w:sz w:val="24"/>
        </w:rPr>
        <w:t>3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Would you agree on the relevance of the ADVANCED infrastructure level (please elaborate)?</w:t>
      </w:r>
    </w:p>
    <w:p w:rsidR="00B22E17" w:rsidRPr="005E725D" w:rsidRDefault="00B22E17" w:rsidP="007D2E58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1</w:t>
      </w:r>
      <w:r w:rsidR="00741CBB">
        <w:rPr>
          <w:rStyle w:val="SubtleEmphasis"/>
          <w:b/>
          <w:i w:val="0"/>
          <w:iCs w:val="0"/>
          <w:sz w:val="24"/>
        </w:rPr>
        <w:t>4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agree with the proposal that the updated CBA methodology should discard the HIGH infrastructure level (please elaborate)? 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bookmarkStart w:id="0" w:name="_GoBack"/>
      <w:bookmarkEnd w:id="0"/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1</w:t>
      </w:r>
      <w:r w:rsidR="00741CBB">
        <w:rPr>
          <w:rStyle w:val="SubtleEmphasis"/>
          <w:b/>
          <w:i w:val="0"/>
          <w:iCs w:val="0"/>
          <w:sz w:val="24"/>
        </w:rPr>
        <w:t>5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think the CBA methodology should keep considering the PCI infrastructure level for the TYNDP assessment (please elaborate)? 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1</w:t>
      </w:r>
      <w:r w:rsidR="00741CBB">
        <w:rPr>
          <w:rStyle w:val="SubtleEmphasis"/>
          <w:b/>
          <w:i w:val="0"/>
          <w:iCs w:val="0"/>
          <w:sz w:val="24"/>
        </w:rPr>
        <w:t>6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support that CBA methodology would include guidance on project grouping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1</w:t>
      </w:r>
      <w:r w:rsidR="00741CBB">
        <w:rPr>
          <w:rStyle w:val="SubtleEmphasis"/>
          <w:b/>
          <w:i w:val="0"/>
          <w:iCs w:val="0"/>
          <w:sz w:val="24"/>
        </w:rPr>
        <w:t>7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Would you have any view on criteria to be retained for grouping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1</w:t>
      </w:r>
      <w:r w:rsidR="00741CBB">
        <w:rPr>
          <w:rStyle w:val="SubtleEmphasis"/>
          <w:b/>
          <w:i w:val="0"/>
          <w:iCs w:val="0"/>
          <w:sz w:val="24"/>
        </w:rPr>
        <w:t>8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support the proposal of a Project Fiche template (in terms of content, please refer to the version for the project fiche as defined for the 3</w:t>
      </w:r>
      <w:r w:rsidRPr="005E725D">
        <w:rPr>
          <w:rStyle w:val="SubtleEmphasis"/>
          <w:i w:val="0"/>
          <w:iCs w:val="0"/>
          <w:sz w:val="24"/>
          <w:vertAlign w:val="superscript"/>
        </w:rPr>
        <w:t>rd</w:t>
      </w:r>
      <w:r w:rsidRPr="005E725D">
        <w:rPr>
          <w:rStyle w:val="SubtleEmphasis"/>
          <w:i w:val="0"/>
          <w:iCs w:val="0"/>
          <w:sz w:val="24"/>
        </w:rPr>
        <w:t xml:space="preserve"> PCI selection process and available at the following </w:t>
      </w:r>
      <w:hyperlink r:id="rId8" w:history="1">
        <w:r w:rsidRPr="005E725D">
          <w:rPr>
            <w:rStyle w:val="Hyperlink"/>
          </w:rPr>
          <w:t>link</w:t>
        </w:r>
      </w:hyperlink>
      <w:r w:rsidRPr="005E725D">
        <w:rPr>
          <w:rStyle w:val="SubtleEmphasis"/>
          <w:i w:val="0"/>
          <w:iCs w:val="0"/>
          <w:sz w:val="24"/>
        </w:rPr>
        <w:t>)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1</w:t>
      </w:r>
      <w:r w:rsidR="00741CBB">
        <w:rPr>
          <w:rStyle w:val="SubtleEmphasis"/>
          <w:b/>
          <w:i w:val="0"/>
          <w:iCs w:val="0"/>
          <w:sz w:val="24"/>
        </w:rPr>
        <w:t>9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Based on the example provided, is there any additional information the project fiche should cover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 xml:space="preserve">Question </w:t>
      </w:r>
      <w:r w:rsidR="00741CBB">
        <w:rPr>
          <w:rStyle w:val="SubtleEmphasis"/>
          <w:b/>
          <w:i w:val="0"/>
          <w:iCs w:val="0"/>
          <w:sz w:val="24"/>
        </w:rPr>
        <w:t>20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support that application of CBA to TYNDP covers performance of PS-CBA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lastRenderedPageBreak/>
        <w:t>Question 2</w:t>
      </w:r>
      <w:r w:rsidR="00741CBB">
        <w:rPr>
          <w:rStyle w:val="SubtleEmphasis"/>
          <w:b/>
          <w:i w:val="0"/>
          <w:iCs w:val="0"/>
          <w:sz w:val="24"/>
        </w:rPr>
        <w:t>1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agree with the publication of PS-CBA results and relevant project information in the TYNDP through a Project Fiche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2</w:t>
      </w:r>
      <w:r w:rsidR="00741CBB">
        <w:rPr>
          <w:rStyle w:val="SubtleEmphasis"/>
          <w:b/>
          <w:i w:val="0"/>
          <w:iCs w:val="0"/>
          <w:sz w:val="24"/>
        </w:rPr>
        <w:t>2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agree that the Project Fiche scope identified by ENTSOG should have PS-CBA results published (only for projects confirming their previous application for the PCI label as described at page 11 of the supporting document)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2</w:t>
      </w:r>
      <w:r w:rsidR="00741CBB">
        <w:rPr>
          <w:rStyle w:val="SubtleEmphasis"/>
          <w:b/>
          <w:i w:val="0"/>
          <w:iCs w:val="0"/>
          <w:sz w:val="24"/>
        </w:rPr>
        <w:t>3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have any comments on the PS-CBA elements proposed for publication as part of TYNDP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2</w:t>
      </w:r>
      <w:r w:rsidR="00741CBB">
        <w:rPr>
          <w:rStyle w:val="SubtleEmphasis"/>
          <w:b/>
          <w:i w:val="0"/>
          <w:iCs w:val="0"/>
          <w:sz w:val="24"/>
        </w:rPr>
        <w:t>4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agree that the ESW CBA methodology should maintain a Multi-Criteria Analysis (MCA) approach where the monetary analysis is complemented by non-monetary and qualitative assessment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2</w:t>
      </w:r>
      <w:r w:rsidR="00741CBB">
        <w:rPr>
          <w:rStyle w:val="SubtleEmphasis"/>
          <w:b/>
          <w:i w:val="0"/>
          <w:iCs w:val="0"/>
          <w:sz w:val="24"/>
        </w:rPr>
        <w:t>5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What are your views on the current European-wide approach for security of supply (</w:t>
      </w:r>
      <w:proofErr w:type="spellStart"/>
      <w:proofErr w:type="gramStart"/>
      <w:r w:rsidRPr="005E725D">
        <w:rPr>
          <w:rStyle w:val="SubtleEmphasis"/>
          <w:i w:val="0"/>
          <w:iCs w:val="0"/>
          <w:sz w:val="24"/>
        </w:rPr>
        <w:t>SoS</w:t>
      </w:r>
      <w:proofErr w:type="spellEnd"/>
      <w:proofErr w:type="gramEnd"/>
      <w:r w:rsidRPr="005E725D">
        <w:rPr>
          <w:rStyle w:val="SubtleEmphasis"/>
          <w:i w:val="0"/>
          <w:iCs w:val="0"/>
          <w:sz w:val="24"/>
        </w:rPr>
        <w:t>) monetisation followed by ENTSOG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2</w:t>
      </w:r>
      <w:r w:rsidR="00741CBB">
        <w:rPr>
          <w:rStyle w:val="SubtleEmphasis"/>
          <w:b/>
          <w:i w:val="0"/>
          <w:iCs w:val="0"/>
          <w:sz w:val="24"/>
        </w:rPr>
        <w:t>6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Would you see benefits in considering a more “country/consumer-based” approach instead of the above mentioned European-wide approach, and if yes, please precise how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2</w:t>
      </w:r>
      <w:r w:rsidR="00741CBB">
        <w:rPr>
          <w:rStyle w:val="SubtleEmphasis"/>
          <w:b/>
          <w:i w:val="0"/>
          <w:iCs w:val="0"/>
          <w:sz w:val="24"/>
        </w:rPr>
        <w:t>7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Is there any data source that ENTSOG could consider using for Value of Lost Load (</w:t>
      </w:r>
      <w:proofErr w:type="spellStart"/>
      <w:r w:rsidRPr="005E725D">
        <w:rPr>
          <w:rStyle w:val="SubtleEmphasis"/>
          <w:i w:val="0"/>
          <w:iCs w:val="0"/>
          <w:sz w:val="24"/>
        </w:rPr>
        <w:t>VoLL</w:t>
      </w:r>
      <w:proofErr w:type="spellEnd"/>
      <w:r w:rsidRPr="005E725D">
        <w:rPr>
          <w:rStyle w:val="SubtleEmphasis"/>
          <w:i w:val="0"/>
          <w:iCs w:val="0"/>
          <w:sz w:val="24"/>
        </w:rPr>
        <w:t>) and security of supply (</w:t>
      </w:r>
      <w:proofErr w:type="spellStart"/>
      <w:r w:rsidRPr="005E725D">
        <w:rPr>
          <w:rStyle w:val="SubtleEmphasis"/>
          <w:i w:val="0"/>
          <w:iCs w:val="0"/>
          <w:sz w:val="24"/>
        </w:rPr>
        <w:t>SoS</w:t>
      </w:r>
      <w:proofErr w:type="spellEnd"/>
      <w:r w:rsidRPr="005E725D">
        <w:rPr>
          <w:rStyle w:val="SubtleEmphasis"/>
          <w:i w:val="0"/>
          <w:iCs w:val="0"/>
          <w:sz w:val="24"/>
        </w:rPr>
        <w:t>) monetisation in the updated CBA methodology and if yes, which ones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2</w:t>
      </w:r>
      <w:r w:rsidR="00741CBB">
        <w:rPr>
          <w:rStyle w:val="SubtleEmphasis"/>
          <w:b/>
          <w:i w:val="0"/>
          <w:iCs w:val="0"/>
          <w:sz w:val="24"/>
        </w:rPr>
        <w:t>8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agree with ENTSOG’s view that a specific monetisation of CO</w:t>
      </w:r>
      <w:r w:rsidRPr="005E725D">
        <w:rPr>
          <w:rStyle w:val="SubtleEmphasis"/>
          <w:i w:val="0"/>
          <w:iCs w:val="0"/>
          <w:sz w:val="24"/>
          <w:vertAlign w:val="subscript"/>
        </w:rPr>
        <w:t>2</w:t>
      </w:r>
      <w:r w:rsidRPr="005E725D">
        <w:rPr>
          <w:rStyle w:val="SubtleEmphasis"/>
          <w:i w:val="0"/>
          <w:iCs w:val="0"/>
          <w:sz w:val="24"/>
        </w:rPr>
        <w:t xml:space="preserve"> emissions should be done when the capacity brought by projects can be clearly linked to an increase in gas consumption and a consequent reduction of CO</w:t>
      </w:r>
      <w:r w:rsidRPr="005E725D">
        <w:rPr>
          <w:rStyle w:val="SubtleEmphasis"/>
          <w:i w:val="0"/>
          <w:iCs w:val="0"/>
          <w:sz w:val="24"/>
          <w:vertAlign w:val="subscript"/>
        </w:rPr>
        <w:t>2</w:t>
      </w:r>
      <w:r w:rsidRPr="005E725D">
        <w:rPr>
          <w:rStyle w:val="SubtleEmphasis"/>
          <w:i w:val="0"/>
          <w:iCs w:val="0"/>
          <w:sz w:val="24"/>
        </w:rPr>
        <w:t xml:space="preserve"> emissions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2</w:t>
      </w:r>
      <w:r w:rsidR="00741CBB">
        <w:rPr>
          <w:rStyle w:val="SubtleEmphasis"/>
          <w:b/>
          <w:i w:val="0"/>
          <w:iCs w:val="0"/>
          <w:sz w:val="24"/>
        </w:rPr>
        <w:t>9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Would you have any suggestion on how to better measure CO</w:t>
      </w:r>
      <w:r w:rsidRPr="005E725D">
        <w:rPr>
          <w:rStyle w:val="SubtleEmphasis"/>
          <w:i w:val="0"/>
          <w:iCs w:val="0"/>
          <w:sz w:val="24"/>
          <w:vertAlign w:val="subscript"/>
        </w:rPr>
        <w:t>2</w:t>
      </w:r>
      <w:r w:rsidRPr="005E725D">
        <w:rPr>
          <w:rStyle w:val="SubtleEmphasis"/>
          <w:i w:val="0"/>
          <w:iCs w:val="0"/>
          <w:sz w:val="24"/>
        </w:rPr>
        <w:t xml:space="preserve"> reductions in mature markets in relation to existing and/or new infrastructure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 xml:space="preserve">Question </w:t>
      </w:r>
      <w:r w:rsidR="00741CBB">
        <w:rPr>
          <w:rStyle w:val="SubtleEmphasis"/>
          <w:b/>
          <w:i w:val="0"/>
          <w:iCs w:val="0"/>
          <w:sz w:val="24"/>
        </w:rPr>
        <w:t>30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support monetisation of CO</w:t>
      </w:r>
      <w:r w:rsidRPr="005E725D">
        <w:rPr>
          <w:rStyle w:val="SubtleEmphasis"/>
          <w:i w:val="0"/>
          <w:iCs w:val="0"/>
          <w:sz w:val="24"/>
          <w:vertAlign w:val="subscript"/>
        </w:rPr>
        <w:t>2</w:t>
      </w:r>
      <w:r w:rsidRPr="005E725D">
        <w:rPr>
          <w:rStyle w:val="SubtleEmphasis"/>
          <w:i w:val="0"/>
          <w:iCs w:val="0"/>
          <w:sz w:val="24"/>
        </w:rPr>
        <w:t xml:space="preserve"> reduction to be based on a Social Cost of Carbon (SCC) rather than on the CO</w:t>
      </w:r>
      <w:r w:rsidRPr="005E725D">
        <w:rPr>
          <w:rStyle w:val="SubtleEmphasis"/>
          <w:i w:val="0"/>
          <w:iCs w:val="0"/>
          <w:sz w:val="24"/>
          <w:vertAlign w:val="subscript"/>
        </w:rPr>
        <w:t>2</w:t>
      </w:r>
      <w:r w:rsidRPr="005E725D">
        <w:rPr>
          <w:rStyle w:val="SubtleEmphasis"/>
          <w:i w:val="0"/>
          <w:iCs w:val="0"/>
          <w:sz w:val="24"/>
        </w:rPr>
        <w:t xml:space="preserve"> market prices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3</w:t>
      </w:r>
      <w:r w:rsidR="00741CBB">
        <w:rPr>
          <w:rStyle w:val="SubtleEmphasis"/>
          <w:b/>
          <w:i w:val="0"/>
          <w:iCs w:val="0"/>
          <w:sz w:val="24"/>
        </w:rPr>
        <w:t>1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</w:t>
      </w:r>
      <w:r w:rsidRPr="005E725D">
        <w:rPr>
          <w:rStyle w:val="SubtleEmphasis"/>
          <w:iCs w:val="0"/>
          <w:sz w:val="24"/>
        </w:rPr>
        <w:t xml:space="preserve"> [If YES in the above question]</w:t>
      </w:r>
      <w:r w:rsidRPr="005E725D">
        <w:rPr>
          <w:rStyle w:val="SubtleEmphasis"/>
          <w:i w:val="0"/>
          <w:iCs w:val="0"/>
          <w:sz w:val="24"/>
        </w:rPr>
        <w:t xml:space="preserve"> </w:t>
      </w:r>
      <w:proofErr w:type="gramStart"/>
      <w:r w:rsidRPr="005E725D">
        <w:rPr>
          <w:rStyle w:val="SubtleEmphasis"/>
          <w:i w:val="0"/>
          <w:iCs w:val="0"/>
          <w:sz w:val="24"/>
        </w:rPr>
        <w:t>Would</w:t>
      </w:r>
      <w:proofErr w:type="gramEnd"/>
      <w:r w:rsidRPr="005E725D">
        <w:rPr>
          <w:rStyle w:val="SubtleEmphasis"/>
          <w:i w:val="0"/>
          <w:iCs w:val="0"/>
          <w:sz w:val="24"/>
        </w:rPr>
        <w:t xml:space="preserve"> you recommend any specific information source on Social Cost of Carbon (SCC)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3</w:t>
      </w:r>
      <w:r w:rsidR="00741CBB">
        <w:rPr>
          <w:rStyle w:val="SubtleEmphasis"/>
          <w:b/>
          <w:i w:val="0"/>
          <w:iCs w:val="0"/>
          <w:sz w:val="24"/>
        </w:rPr>
        <w:t>2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Would you have any specific suggestion on a methodology or proxy for the monetisation of the supply source diversification assessment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3</w:t>
      </w:r>
      <w:r w:rsidR="00741CBB">
        <w:rPr>
          <w:rStyle w:val="SubtleEmphasis"/>
          <w:b/>
          <w:i w:val="0"/>
          <w:iCs w:val="0"/>
          <w:sz w:val="24"/>
        </w:rPr>
        <w:t>3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Is there any other element or CBA indicator for which you would have monetisation suggestions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3</w:t>
      </w:r>
      <w:r w:rsidR="00741CBB">
        <w:rPr>
          <w:rStyle w:val="SubtleEmphasis"/>
          <w:b/>
          <w:i w:val="0"/>
          <w:iCs w:val="0"/>
          <w:sz w:val="24"/>
        </w:rPr>
        <w:t>4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have any specific view regarding whether and how market modelling is relevant in the framework of infrastructure assessment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3</w:t>
      </w:r>
      <w:r w:rsidR="00741CBB">
        <w:rPr>
          <w:rStyle w:val="SubtleEmphasis"/>
          <w:b/>
          <w:i w:val="0"/>
          <w:iCs w:val="0"/>
          <w:sz w:val="24"/>
        </w:rPr>
        <w:t>5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Could you indicate any source for input data required for the implementation of a market model (such as tariffs, supply prices, etc.) (</w:t>
      </w:r>
      <w:proofErr w:type="gramStart"/>
      <w:r w:rsidRPr="005E725D">
        <w:rPr>
          <w:rStyle w:val="SubtleEmphasis"/>
          <w:i w:val="0"/>
          <w:iCs w:val="0"/>
          <w:sz w:val="24"/>
        </w:rPr>
        <w:t>please</w:t>
      </w:r>
      <w:proofErr w:type="gramEnd"/>
      <w:r w:rsidRPr="005E725D">
        <w:rPr>
          <w:rStyle w:val="SubtleEmphasis"/>
          <w:i w:val="0"/>
          <w:iCs w:val="0"/>
          <w:sz w:val="24"/>
        </w:rPr>
        <w:t xml:space="preserve">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3</w:t>
      </w:r>
      <w:r w:rsidR="00741CBB">
        <w:rPr>
          <w:rStyle w:val="SubtleEmphasis"/>
          <w:b/>
          <w:i w:val="0"/>
          <w:iCs w:val="0"/>
          <w:sz w:val="24"/>
        </w:rPr>
        <w:t>6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Would you have any specific views regarding information sources for import prices for the various supply sources and regarding the minimum volumes used to assess market behaviour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3</w:t>
      </w:r>
      <w:r w:rsidR="00741CBB">
        <w:rPr>
          <w:rStyle w:val="SubtleEmphasis"/>
          <w:b/>
          <w:i w:val="0"/>
          <w:iCs w:val="0"/>
          <w:sz w:val="24"/>
        </w:rPr>
        <w:t>7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How do you think that import price spread configuration could be further improved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3</w:t>
      </w:r>
      <w:r w:rsidR="00741CBB">
        <w:rPr>
          <w:rStyle w:val="SubtleEmphasis"/>
          <w:b/>
          <w:i w:val="0"/>
          <w:iCs w:val="0"/>
          <w:sz w:val="24"/>
        </w:rPr>
        <w:t>8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Consistently with your reply to question 27, what should be the information source for the different supply source prices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3</w:t>
      </w:r>
      <w:r w:rsidR="00741CBB">
        <w:rPr>
          <w:rStyle w:val="SubtleEmphasis"/>
          <w:b/>
          <w:i w:val="0"/>
          <w:iCs w:val="0"/>
          <w:sz w:val="24"/>
        </w:rPr>
        <w:t>9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How do you think that LNG diversification could be further improved (please elaborate)?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 xml:space="preserve">Question </w:t>
      </w:r>
      <w:r w:rsidR="00741CBB">
        <w:rPr>
          <w:rStyle w:val="SubtleEmphasis"/>
          <w:b/>
          <w:i w:val="0"/>
          <w:iCs w:val="0"/>
          <w:sz w:val="24"/>
        </w:rPr>
        <w:t>40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agree that CBA methodology as proposed would support promoters by providing them with a common input framework to be used (e.g. demand scenarios) and outputs indicating detailed benefits at country-level as input to promoters` own project-specific CBAs (please elaborate)?   </w:t>
      </w:r>
    </w:p>
    <w:p w:rsidR="00B22E17" w:rsidRPr="005E725D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Default="00B22E17" w:rsidP="00B22E17">
      <w:pPr>
        <w:rPr>
          <w:rStyle w:val="SubtleEmphasis"/>
          <w:i w:val="0"/>
          <w:iCs w:val="0"/>
          <w:sz w:val="24"/>
        </w:rPr>
      </w:pPr>
      <w:r w:rsidRPr="005E725D">
        <w:rPr>
          <w:rStyle w:val="SubtleEmphasis"/>
          <w:b/>
          <w:i w:val="0"/>
          <w:iCs w:val="0"/>
          <w:sz w:val="24"/>
        </w:rPr>
        <w:t>Question 4</w:t>
      </w:r>
      <w:r w:rsidR="00741CBB">
        <w:rPr>
          <w:rStyle w:val="SubtleEmphasis"/>
          <w:b/>
          <w:i w:val="0"/>
          <w:iCs w:val="0"/>
          <w:sz w:val="24"/>
        </w:rPr>
        <w:t>1</w:t>
      </w:r>
      <w:r w:rsidRPr="005E725D">
        <w:rPr>
          <w:rStyle w:val="SubtleEmphasis"/>
          <w:b/>
          <w:i w:val="0"/>
          <w:iCs w:val="0"/>
          <w:sz w:val="24"/>
        </w:rPr>
        <w:t>:</w:t>
      </w:r>
      <w:r w:rsidRPr="005E725D">
        <w:rPr>
          <w:rStyle w:val="SubtleEmphasis"/>
          <w:i w:val="0"/>
          <w:iCs w:val="0"/>
          <w:sz w:val="24"/>
        </w:rPr>
        <w:t xml:space="preserve"> Do you have any additional comment or suggestion that has not been covered in previous questions (please elaborate)?</w:t>
      </w:r>
    </w:p>
    <w:p w:rsidR="00B22E17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B22E17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B22E17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B22E17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B22E17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B22E17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B22E17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B22E17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B22E17" w:rsidRDefault="00B22E17" w:rsidP="00B22E17">
      <w:pPr>
        <w:rPr>
          <w:rStyle w:val="SubtleEmphasis"/>
          <w:i w:val="0"/>
          <w:iCs w:val="0"/>
          <w:sz w:val="24"/>
        </w:rPr>
      </w:pPr>
    </w:p>
    <w:p w:rsidR="00B22E17" w:rsidRPr="00B84A30" w:rsidRDefault="00B22E17" w:rsidP="007D2E58">
      <w:pPr>
        <w:rPr>
          <w:rStyle w:val="SubtleEmphasis"/>
          <w:i w:val="0"/>
          <w:iCs w:val="0"/>
          <w:sz w:val="24"/>
        </w:rPr>
      </w:pPr>
    </w:p>
    <w:sectPr w:rsidR="00B22E17" w:rsidRPr="00B84A30" w:rsidSect="00216F29">
      <w:footerReference w:type="default" r:id="rId9"/>
      <w:footerReference w:type="first" r:id="rId10"/>
      <w:pgSz w:w="11909" w:h="16834" w:code="9"/>
      <w:pgMar w:top="1411" w:right="1411" w:bottom="1411" w:left="1411" w:header="720" w:footer="2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17" w:rsidRDefault="00B22E17" w:rsidP="00B23CF5">
      <w:r>
        <w:separator/>
      </w:r>
    </w:p>
  </w:endnote>
  <w:endnote w:type="continuationSeparator" w:id="0">
    <w:p w:rsidR="00B22E17" w:rsidRDefault="00B22E17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4D" w:rsidRPr="00E52663" w:rsidRDefault="00FD574D" w:rsidP="002430F2">
    <w:pPr>
      <w:pStyle w:val="Footer"/>
      <w:jc w:val="center"/>
      <w:rPr>
        <w:sz w:val="10"/>
        <w:szCs w:val="10"/>
      </w:rPr>
    </w:pPr>
  </w:p>
  <w:p w:rsidR="00FD574D" w:rsidRDefault="00FD574D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1B4B60">
      <w:rPr>
        <w:rStyle w:val="SubtleEmphasis"/>
        <w:noProof/>
      </w:rPr>
      <w:t>3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1B4B60">
      <w:rPr>
        <w:rStyle w:val="SubtleEmphasis"/>
        <w:noProof/>
      </w:rPr>
      <w:t>3</w:t>
    </w:r>
    <w:r w:rsidRPr="0065668E">
      <w:rPr>
        <w:rStyle w:val="SubtleEmphasis"/>
      </w:rPr>
      <w:fldChar w:fldCharType="end"/>
    </w:r>
  </w:p>
  <w:p w:rsidR="00FD574D" w:rsidRPr="002430F2" w:rsidRDefault="00FD574D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4D" w:rsidRPr="002430F2" w:rsidRDefault="00FD574D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17" w:rsidRDefault="00B22E17" w:rsidP="00B23CF5">
      <w:r>
        <w:separator/>
      </w:r>
    </w:p>
  </w:footnote>
  <w:footnote w:type="continuationSeparator" w:id="0">
    <w:p w:rsidR="00B22E17" w:rsidRDefault="00B22E17" w:rsidP="00B2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8B5"/>
    <w:multiLevelType w:val="hybridMultilevel"/>
    <w:tmpl w:val="2620FB82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63A"/>
    <w:multiLevelType w:val="multilevel"/>
    <w:tmpl w:val="C2C8E96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3A04F7B"/>
    <w:multiLevelType w:val="hybridMultilevel"/>
    <w:tmpl w:val="228A85A8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0F6A7756"/>
    <w:multiLevelType w:val="hybridMultilevel"/>
    <w:tmpl w:val="DDEC3A88"/>
    <w:lvl w:ilvl="0" w:tplc="FFE6B19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6109"/>
    <w:multiLevelType w:val="multilevel"/>
    <w:tmpl w:val="C096DA90"/>
    <w:numStyleLink w:val="EBullets"/>
  </w:abstractNum>
  <w:abstractNum w:abstractNumId="7" w15:restartNumberingAfterBreak="0">
    <w:nsid w:val="1EE748FE"/>
    <w:multiLevelType w:val="multilevel"/>
    <w:tmpl w:val="C096DA90"/>
    <w:numStyleLink w:val="EBullets"/>
  </w:abstractNum>
  <w:abstractNum w:abstractNumId="8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2028F9"/>
    <w:multiLevelType w:val="hybridMultilevel"/>
    <w:tmpl w:val="FF4A837A"/>
    <w:lvl w:ilvl="0" w:tplc="1534E2FA">
      <w:start w:val="1"/>
      <w:numFmt w:val="decimal"/>
      <w:lvlText w:val="1.1.1.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2ACA53F9"/>
    <w:multiLevelType w:val="multilevel"/>
    <w:tmpl w:val="6BF650B4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1.1.%4."/>
      <w:lvlJc w:val="left"/>
      <w:pPr>
        <w:ind w:left="1136" w:hanging="284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E8B3E63"/>
    <w:multiLevelType w:val="hybridMultilevel"/>
    <w:tmpl w:val="32DC7B54"/>
    <w:lvl w:ilvl="0" w:tplc="BF96814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64A8D"/>
    <w:multiLevelType w:val="multilevel"/>
    <w:tmpl w:val="C096DA90"/>
    <w:numStyleLink w:val="EBullets"/>
  </w:abstractNum>
  <w:abstractNum w:abstractNumId="13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B2DFE"/>
    <w:multiLevelType w:val="multilevel"/>
    <w:tmpl w:val="2C228132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008"/>
        </w:tabs>
        <w:ind w:left="72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1296"/>
        </w:tabs>
        <w:ind w:left="72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192E30"/>
    <w:multiLevelType w:val="hybridMultilevel"/>
    <w:tmpl w:val="295AB514"/>
    <w:lvl w:ilvl="0" w:tplc="3294B80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0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7" w15:restartNumberingAfterBreak="0">
    <w:nsid w:val="41976D2F"/>
    <w:multiLevelType w:val="hybridMultilevel"/>
    <w:tmpl w:val="946A23A0"/>
    <w:lvl w:ilvl="0" w:tplc="BD3091D8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035"/>
    <w:multiLevelType w:val="hybridMultilevel"/>
    <w:tmpl w:val="774C2C0A"/>
    <w:lvl w:ilvl="0" w:tplc="AFE472BE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A1251"/>
    <w:multiLevelType w:val="multilevel"/>
    <w:tmpl w:val="C096DA90"/>
    <w:numStyleLink w:val="EBullets"/>
  </w:abstractNum>
  <w:abstractNum w:abstractNumId="20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1061F"/>
    <w:multiLevelType w:val="hybridMultilevel"/>
    <w:tmpl w:val="F01ACAB6"/>
    <w:lvl w:ilvl="0" w:tplc="FFE6B19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22EC"/>
    <w:multiLevelType w:val="hybridMultilevel"/>
    <w:tmpl w:val="D72442BE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34C8F"/>
    <w:multiLevelType w:val="hybridMultilevel"/>
    <w:tmpl w:val="9508C472"/>
    <w:lvl w:ilvl="0" w:tplc="E80CCAC6">
      <w:start w:val="1"/>
      <w:numFmt w:val="decimal"/>
      <w:lvlText w:val="1.1.1.1.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4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53CE5B15"/>
    <w:multiLevelType w:val="multilevel"/>
    <w:tmpl w:val="C096DA90"/>
    <w:numStyleLink w:val="EBullets"/>
  </w:abstractNum>
  <w:abstractNum w:abstractNumId="26" w15:restartNumberingAfterBreak="0">
    <w:nsid w:val="64FA1302"/>
    <w:multiLevelType w:val="multilevel"/>
    <w:tmpl w:val="2C22813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906D6"/>
    <w:multiLevelType w:val="hybridMultilevel"/>
    <w:tmpl w:val="0666D950"/>
    <w:lvl w:ilvl="0" w:tplc="FF1464F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0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21DB2"/>
    <w:multiLevelType w:val="multilevel"/>
    <w:tmpl w:val="EAD0E45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D11D6"/>
    <w:multiLevelType w:val="hybridMultilevel"/>
    <w:tmpl w:val="168A0C60"/>
    <w:lvl w:ilvl="0" w:tplc="90684A0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-4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2108C"/>
    <w:multiLevelType w:val="multilevel"/>
    <w:tmpl w:val="C096DA90"/>
    <w:numStyleLink w:val="EBullets"/>
  </w:abstractNum>
  <w:abstractNum w:abstractNumId="31" w15:restartNumberingAfterBreak="0">
    <w:nsid w:val="73ED09EC"/>
    <w:multiLevelType w:val="hybridMultilevel"/>
    <w:tmpl w:val="9902502A"/>
    <w:lvl w:ilvl="0" w:tplc="803CEBA4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-186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29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28"/>
  </w:num>
  <w:num w:numId="14">
    <w:abstractNumId w:val="5"/>
  </w:num>
  <w:num w:numId="15">
    <w:abstractNumId w:val="21"/>
  </w:num>
  <w:num w:numId="16">
    <w:abstractNumId w:val="31"/>
  </w:num>
  <w:num w:numId="17">
    <w:abstractNumId w:val="15"/>
  </w:num>
  <w:num w:numId="18">
    <w:abstractNumId w:val="27"/>
  </w:num>
  <w:num w:numId="19">
    <w:abstractNumId w:val="7"/>
  </w:num>
  <w:num w:numId="20">
    <w:abstractNumId w:val="25"/>
  </w:num>
  <w:num w:numId="21">
    <w:abstractNumId w:val="3"/>
  </w:num>
  <w:num w:numId="22">
    <w:abstractNumId w:val="17"/>
  </w:num>
  <w:num w:numId="23">
    <w:abstractNumId w:val="1"/>
  </w:num>
  <w:num w:numId="24">
    <w:abstractNumId w:val="22"/>
  </w:num>
  <w:num w:numId="25">
    <w:abstractNumId w:val="0"/>
  </w:num>
  <w:num w:numId="26">
    <w:abstractNumId w:val="18"/>
  </w:num>
  <w:num w:numId="27">
    <w:abstractNumId w:val="20"/>
  </w:num>
  <w:num w:numId="28">
    <w:abstractNumId w:val="26"/>
  </w:num>
  <w:num w:numId="29">
    <w:abstractNumId w:val="14"/>
  </w:num>
  <w:num w:numId="30">
    <w:abstractNumId w:val="11"/>
  </w:num>
  <w:num w:numId="31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lvlText w:val="1.1.1.1.%5."/>
        <w:lvlJc w:val="left"/>
        <w:pPr>
          <w:ind w:left="1420" w:hanging="28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2">
    <w:abstractNumId w:val="24"/>
  </w:num>
  <w:num w:numId="33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4">
    <w:abstractNumId w:val="2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6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lvlRestart w:val="1"/>
        <w:pStyle w:val="E4Level"/>
        <w:lvlText w:val="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7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8">
    <w:abstractNumId w:val="9"/>
  </w:num>
  <w:num w:numId="39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0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none"/>
        <w:pStyle w:val="E4Level"/>
        <w:lvlText w:val="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none"/>
        <w:pStyle w:val="E5Level"/>
        <w:lvlText w:val="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1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none"/>
        <w:pStyle w:val="E5Level"/>
        <w:lvlText w:val="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2">
    <w:abstractNumId w:val="23"/>
  </w:num>
  <w:num w:numId="43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2778" w:hanging="1642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4">
    <w:abstractNumId w:val="24"/>
  </w:num>
  <w:num w:numId="45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701" w:hanging="1701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6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134" w:hanging="113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7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568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737" w:hanging="737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1136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134" w:hanging="113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7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0410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7753"/>
    <w:rsid w:val="000D7F4D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40999"/>
    <w:rsid w:val="00140AE3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4B6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D595D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16F29"/>
    <w:rsid w:val="00222CB8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FB3"/>
    <w:rsid w:val="003434DE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800DD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4CBF"/>
    <w:rsid w:val="00495614"/>
    <w:rsid w:val="00496211"/>
    <w:rsid w:val="004A10EC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5417"/>
    <w:rsid w:val="005167CC"/>
    <w:rsid w:val="00516A43"/>
    <w:rsid w:val="005178C3"/>
    <w:rsid w:val="00517B3E"/>
    <w:rsid w:val="00517B65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25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67A2"/>
    <w:rsid w:val="006208C1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1CBB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E58"/>
    <w:rsid w:val="007D5513"/>
    <w:rsid w:val="007D6323"/>
    <w:rsid w:val="007D6FA8"/>
    <w:rsid w:val="007D7B69"/>
    <w:rsid w:val="007E1432"/>
    <w:rsid w:val="007E2E44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A14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2E17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6C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75F23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596F"/>
    <w:rsid w:val="00F06577"/>
    <w:rsid w:val="00F1018C"/>
    <w:rsid w:val="00F105DC"/>
    <w:rsid w:val="00F124E2"/>
    <w:rsid w:val="00F12AB3"/>
    <w:rsid w:val="00F1312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403A9"/>
    <w:rsid w:val="00F41D0D"/>
    <w:rsid w:val="00F41E8C"/>
    <w:rsid w:val="00F42025"/>
    <w:rsid w:val="00F43B92"/>
    <w:rsid w:val="00F44201"/>
    <w:rsid w:val="00F46817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D7ED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4BFBAC2-9272-4571-AEE2-F38F657D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 Normal"/>
    <w:qFormat/>
    <w:rsid w:val="008C49DC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7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7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7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lang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,Schwache Hervorhebung"/>
    <w:uiPriority w:val="19"/>
    <w:qFormat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44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7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2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sog.eu/public/uploads/files/publications/CBA/2017/170510_Supporting_document_CBA_P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F906-9C36-4E3A-8033-ABB3D22E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Identifier DocCode CreationDateYYMMDD DocType Content Version</vt:lpstr>
    </vt:vector>
  </TitlesOfParts>
  <Company>Microsoft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subject/>
  <dc:creator>Stefano Astorri</dc:creator>
  <cp:keywords/>
  <dc:description/>
  <cp:lastModifiedBy>Stefano Astorri</cp:lastModifiedBy>
  <cp:revision>2</cp:revision>
  <cp:lastPrinted>2012-06-27T07:17:00Z</cp:lastPrinted>
  <dcterms:created xsi:type="dcterms:W3CDTF">2017-05-24T15:51:00Z</dcterms:created>
  <dcterms:modified xsi:type="dcterms:W3CDTF">2017-05-24T15:51:00Z</dcterms:modified>
</cp:coreProperties>
</file>