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93" w:rsidRPr="00651073" w:rsidRDefault="00B07C93" w:rsidP="008558A1">
      <w:pPr>
        <w:spacing w:before="120" w:after="120"/>
        <w:jc w:val="both"/>
        <w:rPr>
          <w:rFonts w:cs="Calibri"/>
          <w:b/>
          <w:sz w:val="32"/>
        </w:rPr>
      </w:pPr>
      <w:bookmarkStart w:id="0" w:name="_Toc282547542"/>
      <w:r w:rsidRPr="00651073">
        <w:rPr>
          <w:rFonts w:cs="Calibri"/>
          <w:b/>
          <w:sz w:val="32"/>
        </w:rPr>
        <w:t>Responses to Draft CAM Network Code</w:t>
      </w:r>
      <w:bookmarkStart w:id="1" w:name="_Toc284864689"/>
      <w:bookmarkEnd w:id="0"/>
      <w:r w:rsidRPr="00651073">
        <w:rPr>
          <w:rFonts w:cs="Calibri"/>
          <w:b/>
          <w:sz w:val="32"/>
        </w:rPr>
        <w:t xml:space="preserve"> Consultation</w:t>
      </w:r>
    </w:p>
    <w:p w:rsidR="00B07C93" w:rsidRPr="00651073" w:rsidRDefault="00B07C93" w:rsidP="008558A1">
      <w:pPr>
        <w:spacing w:before="120" w:after="120"/>
        <w:jc w:val="both"/>
        <w:rPr>
          <w:rFonts w:cs="Calibri"/>
          <w:b/>
          <w:i/>
          <w:sz w:val="24"/>
        </w:rPr>
      </w:pPr>
      <w:r w:rsidRPr="00651073">
        <w:rPr>
          <w:rFonts w:cs="Calibri"/>
          <w:b/>
          <w:i/>
          <w:sz w:val="24"/>
        </w:rPr>
        <w:t>Consultation Response Sheet</w:t>
      </w:r>
      <w:bookmarkEnd w:id="1"/>
    </w:p>
    <w:p w:rsidR="00B07C93" w:rsidRPr="00651073" w:rsidRDefault="00B07C93"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sidR="00F707E1">
        <w:rPr>
          <w:rFonts w:cs="Calibri"/>
        </w:rPr>
        <w:t>,</w:t>
      </w:r>
      <w:r w:rsidR="00B85CBD">
        <w:rPr>
          <w:rFonts w:cs="Calibri"/>
        </w:rPr>
        <w:t xml:space="preserve"> “</w:t>
      </w:r>
      <w:r w:rsidRPr="00651073">
        <w:rPr>
          <w:rFonts w:cs="Calibri"/>
        </w:rPr>
        <w:t xml:space="preserve">Response to the CAM NC consultation” to </w:t>
      </w:r>
      <w:hyperlink r:id="rId8" w:history="1">
        <w:r w:rsidRPr="00651073">
          <w:rPr>
            <w:rStyle w:val="Hyperlink"/>
            <w:rFonts w:cs="Calibri"/>
            <w:b/>
          </w:rPr>
          <w:t>info@entsog.eu</w:t>
        </w:r>
      </w:hyperlink>
      <w:r w:rsidR="002C6357">
        <w:rPr>
          <w:rFonts w:cs="Calibri"/>
        </w:rPr>
        <w:t xml:space="preserve"> by </w:t>
      </w:r>
      <w:r w:rsidRPr="00651073">
        <w:rPr>
          <w:rFonts w:cs="Calibri"/>
        </w:rPr>
        <w:t xml:space="preserve">3 August 2011. </w:t>
      </w:r>
    </w:p>
    <w:p w:rsidR="00B07C93" w:rsidRPr="00651073" w:rsidRDefault="00B07C93"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B07C93" w:rsidRPr="00651073" w:rsidTr="00B07C93">
        <w:trPr>
          <w:trHeight w:val="432"/>
        </w:trPr>
        <w:tc>
          <w:tcPr>
            <w:tcW w:w="9242" w:type="dxa"/>
            <w:tcBorders>
              <w:bottom w:val="single" w:sz="4" w:space="0" w:color="auto"/>
            </w:tcBorders>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Name</w:t>
            </w:r>
          </w:p>
        </w:tc>
      </w:tr>
      <w:tr w:rsidR="00B07C93" w:rsidRPr="00651073" w:rsidTr="00B07C93">
        <w:tc>
          <w:tcPr>
            <w:tcW w:w="9242" w:type="dxa"/>
            <w:shd w:val="clear" w:color="auto" w:fill="auto"/>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First and Last Name: </w:t>
            </w:r>
            <w:r w:rsidR="00255D58">
              <w:rPr>
                <w:rStyle w:val="grey1"/>
                <w:rFonts w:ascii="Calibri" w:eastAsia="Times New Roman" w:hAnsi="Calibri" w:cs="Calibri"/>
                <w:color w:val="000000"/>
                <w:sz w:val="22"/>
                <w:szCs w:val="22"/>
                <w:lang w:val="en-GB"/>
              </w:rPr>
              <w:t>VAGN PEDERSEN</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rPr>
          <w:trHeight w:val="432"/>
        </w:trPr>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Organisation</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Company/Organisation Name:</w:t>
            </w:r>
            <w:r w:rsidR="00144664">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DONG Energy</w:t>
            </w:r>
          </w:p>
        </w:tc>
      </w:tr>
      <w:tr w:rsidR="00B07C93" w:rsidRPr="00651073" w:rsidTr="00B07C93">
        <w:tc>
          <w:tcPr>
            <w:tcW w:w="9242" w:type="dxa"/>
          </w:tcPr>
          <w:p w:rsidR="00B07C93" w:rsidRPr="00542F09" w:rsidRDefault="00395DFC" w:rsidP="008558A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Job Title</w:t>
            </w:r>
            <w:r w:rsidR="00144664">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 xml:space="preserve"> SENIOR REGULATORY ADVISOR</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Contact details</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Email: </w:t>
            </w:r>
            <w:hyperlink r:id="rId9" w:history="1">
              <w:r w:rsidR="007E340C" w:rsidRPr="00734D9C">
                <w:rPr>
                  <w:rStyle w:val="Hyperlink"/>
                  <w:rFonts w:ascii="Calibri" w:eastAsia="Times New Roman" w:hAnsi="Calibri" w:cs="Calibri"/>
                  <w:sz w:val="22"/>
                  <w:szCs w:val="22"/>
                  <w:lang w:val="en-GB"/>
                </w:rPr>
                <w:t>vaped@dongenergy.dk</w:t>
              </w:r>
            </w:hyperlink>
          </w:p>
        </w:tc>
      </w:tr>
      <w:tr w:rsidR="00B07C93" w:rsidRPr="00651073" w:rsidTr="00B07C93">
        <w:tc>
          <w:tcPr>
            <w:tcW w:w="9242" w:type="dxa"/>
          </w:tcPr>
          <w:p w:rsidR="00B07C93" w:rsidRPr="00542F09" w:rsidRDefault="00395DFC" w:rsidP="008558A1">
            <w:pPr>
              <w:pStyle w:val="Txt"/>
              <w:spacing w:line="276" w:lineRule="auto"/>
              <w:ind w:right="0"/>
              <w:rPr>
                <w:rStyle w:val="grey1"/>
                <w:rFonts w:ascii="Calibri" w:eastAsia="Times New Roman" w:hAnsi="Calibri" w:cs="Calibri"/>
                <w:color w:val="000000"/>
                <w:sz w:val="22"/>
                <w:szCs w:val="22"/>
                <w:lang w:val="en-GB"/>
              </w:rPr>
            </w:pPr>
            <w:r w:rsidRPr="00395DFC">
              <w:rPr>
                <w:rStyle w:val="grey1"/>
                <w:rFonts w:ascii="Calibri" w:eastAsia="Times New Roman" w:hAnsi="Calibri" w:cs="Calibri"/>
                <w:color w:val="000000"/>
                <w:sz w:val="22"/>
                <w:szCs w:val="22"/>
                <w:lang w:val="en-GB"/>
              </w:rPr>
              <w:t>Tel:</w:t>
            </w:r>
            <w:r w:rsidR="00B32BDB">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0045 99557921</w:t>
            </w:r>
          </w:p>
        </w:tc>
      </w:tr>
      <w:tr w:rsidR="00B07C93" w:rsidRPr="00651073" w:rsidTr="00B07C93">
        <w:tc>
          <w:tcPr>
            <w:tcW w:w="9242" w:type="dxa"/>
          </w:tcPr>
          <w:p w:rsidR="00B07C93" w:rsidRPr="00542F09" w:rsidRDefault="00B07C93" w:rsidP="00255D58">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 xml:space="preserve">Mobile: </w:t>
            </w:r>
            <w:r w:rsidR="00255D58">
              <w:rPr>
                <w:rStyle w:val="grey1"/>
                <w:rFonts w:ascii="Calibri" w:eastAsia="Times New Roman" w:hAnsi="Calibri" w:cs="Calibri"/>
                <w:color w:val="000000"/>
                <w:sz w:val="22"/>
                <w:szCs w:val="22"/>
                <w:lang w:val="en-GB"/>
              </w:rPr>
              <w:t xml:space="preserve"> 0045 99557921</w:t>
            </w:r>
          </w:p>
        </w:tc>
      </w:tr>
    </w:tbl>
    <w:p w:rsidR="00B07C93" w:rsidRPr="0065107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07C93" w:rsidRPr="00651073" w:rsidTr="00B07C93">
        <w:tc>
          <w:tcPr>
            <w:tcW w:w="9242" w:type="dxa"/>
            <w:shd w:val="clear" w:color="auto" w:fill="9BBB59"/>
          </w:tcPr>
          <w:p w:rsidR="00B07C93" w:rsidRPr="00542F09" w:rsidRDefault="00B07C93" w:rsidP="008558A1">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Address</w:t>
            </w:r>
          </w:p>
        </w:tc>
      </w:tr>
      <w:tr w:rsidR="00B07C93" w:rsidRPr="00395DFC" w:rsidTr="00B07C93">
        <w:tc>
          <w:tcPr>
            <w:tcW w:w="9242" w:type="dxa"/>
          </w:tcPr>
          <w:p w:rsidR="00B07C93" w:rsidRPr="00395DFC" w:rsidRDefault="00B07C93" w:rsidP="00395DFC">
            <w:pPr>
              <w:pStyle w:val="Txt"/>
              <w:spacing w:line="276" w:lineRule="auto"/>
              <w:ind w:right="0"/>
              <w:rPr>
                <w:rStyle w:val="grey1"/>
                <w:rFonts w:ascii="Calibri" w:eastAsia="Times New Roman" w:hAnsi="Calibri" w:cs="Calibri"/>
                <w:color w:val="000000"/>
                <w:sz w:val="22"/>
                <w:szCs w:val="22"/>
                <w:lang w:val="fr-BE"/>
              </w:rPr>
            </w:pPr>
            <w:r w:rsidRPr="00395DFC">
              <w:rPr>
                <w:rStyle w:val="grey1"/>
                <w:rFonts w:ascii="Calibri" w:eastAsia="Times New Roman" w:hAnsi="Calibri" w:cs="Calibri"/>
                <w:color w:val="000000"/>
                <w:sz w:val="22"/>
                <w:szCs w:val="22"/>
                <w:lang w:val="fr-BE"/>
              </w:rPr>
              <w:t>Street:</w:t>
            </w:r>
            <w:r w:rsidR="00144664">
              <w:rPr>
                <w:rStyle w:val="grey1"/>
                <w:rFonts w:ascii="Calibri" w:eastAsia="Times New Roman" w:hAnsi="Calibri" w:cs="Calibri"/>
                <w:color w:val="000000"/>
                <w:sz w:val="22"/>
                <w:szCs w:val="22"/>
                <w:lang w:val="fr-BE"/>
              </w:rPr>
              <w:t xml:space="preserve"> </w:t>
            </w:r>
            <w:r w:rsidR="00255D58">
              <w:rPr>
                <w:rStyle w:val="grey1"/>
                <w:rFonts w:ascii="Calibri" w:eastAsia="Times New Roman" w:hAnsi="Calibri" w:cs="Calibri"/>
                <w:color w:val="000000"/>
                <w:sz w:val="22"/>
                <w:szCs w:val="22"/>
                <w:lang w:val="fr-BE"/>
              </w:rPr>
              <w:t>Nesa Allé 1</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Postal Code:</w:t>
            </w:r>
            <w:r w:rsidR="00144664">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2820</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City:</w:t>
            </w:r>
            <w:r w:rsidR="00144664">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 xml:space="preserve"> GENTOFTE</w:t>
            </w:r>
          </w:p>
        </w:tc>
      </w:tr>
      <w:tr w:rsidR="00B07C93" w:rsidRPr="00651073" w:rsidTr="00B07C93">
        <w:tc>
          <w:tcPr>
            <w:tcW w:w="9242" w:type="dxa"/>
          </w:tcPr>
          <w:p w:rsidR="00B07C93" w:rsidRPr="00542F09" w:rsidRDefault="00B07C93" w:rsidP="008558A1">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Country:</w:t>
            </w:r>
            <w:r w:rsidR="00144664">
              <w:rPr>
                <w:rStyle w:val="grey1"/>
                <w:rFonts w:ascii="Calibri" w:eastAsia="Times New Roman" w:hAnsi="Calibri" w:cs="Calibri"/>
                <w:color w:val="000000"/>
                <w:sz w:val="22"/>
                <w:szCs w:val="22"/>
                <w:lang w:val="en-GB"/>
              </w:rPr>
              <w:t xml:space="preserve"> </w:t>
            </w:r>
            <w:r w:rsidR="00255D58">
              <w:rPr>
                <w:rStyle w:val="grey1"/>
                <w:rFonts w:ascii="Calibri" w:eastAsia="Times New Roman" w:hAnsi="Calibri" w:cs="Calibri"/>
                <w:color w:val="000000"/>
                <w:sz w:val="22"/>
                <w:szCs w:val="22"/>
                <w:lang w:val="en-GB"/>
              </w:rPr>
              <w:t xml:space="preserve"> DENMARK</w:t>
            </w:r>
          </w:p>
        </w:tc>
      </w:tr>
    </w:tbl>
    <w:p w:rsidR="00B07C93" w:rsidRDefault="00B07C93"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542F09" w:rsidRDefault="00144664" w:rsidP="00AC4840">
            <w:pPr>
              <w:pStyle w:val="Txt"/>
              <w:spacing w:line="276" w:lineRule="auto"/>
              <w:ind w:right="0"/>
              <w:rPr>
                <w:rStyle w:val="grey1"/>
                <w:rFonts w:ascii="Calibri" w:eastAsia="Times New Roman" w:hAnsi="Calibri" w:cs="Calibri"/>
                <w:b/>
                <w:color w:val="000000"/>
                <w:sz w:val="22"/>
                <w:szCs w:val="22"/>
                <w:lang w:val="en-GB"/>
              </w:rPr>
            </w:pPr>
            <w:r w:rsidRPr="00542F09">
              <w:rPr>
                <w:rFonts w:ascii="Calibri" w:eastAsia="Times New Roman" w:hAnsi="Calibri" w:cs="Calibri"/>
                <w:b/>
                <w:sz w:val="22"/>
                <w:szCs w:val="22"/>
              </w:rPr>
              <w:t xml:space="preserve">Question 1: </w:t>
            </w:r>
            <w:r w:rsidRPr="00542F09">
              <w:rPr>
                <w:rFonts w:ascii="Calibri" w:eastAsia="Times New Roman" w:hAnsi="Calibri" w:cs="Calibri"/>
                <w:sz w:val="22"/>
                <w:szCs w:val="22"/>
              </w:rPr>
              <w:t xml:space="preserve">Do you consider that the level of detail in the draft NC is appropriate for an EU </w:t>
            </w:r>
            <w:r w:rsidRPr="00542F09">
              <w:rPr>
                <w:rFonts w:ascii="Calibri" w:eastAsia="Times New Roman" w:hAnsi="Calibri" w:cs="Calibri"/>
                <w:sz w:val="22"/>
                <w:szCs w:val="22"/>
              </w:rPr>
              <w:lastRenderedPageBreak/>
              <w:t>Regulation?</w:t>
            </w:r>
          </w:p>
        </w:tc>
      </w:tr>
      <w:tr w:rsidR="00144664" w:rsidRPr="00075022" w:rsidTr="00AC4840">
        <w:tc>
          <w:tcPr>
            <w:tcW w:w="9242" w:type="dxa"/>
            <w:shd w:val="clear" w:color="auto" w:fill="auto"/>
          </w:tcPr>
          <w:p w:rsidR="005601D0" w:rsidRDefault="00144664" w:rsidP="00AC4840">
            <w:pPr>
              <w:pStyle w:val="Txt"/>
              <w:spacing w:line="276" w:lineRule="auto"/>
              <w:ind w:right="0"/>
              <w:rPr>
                <w:rStyle w:val="grey1"/>
                <w:rFonts w:ascii="Calibri" w:hAnsi="Calibri" w:cs="Calibri"/>
                <w:color w:val="000000"/>
                <w:sz w:val="22"/>
                <w:szCs w:val="22"/>
                <w:lang w:val="en-GB"/>
              </w:rPr>
            </w:pPr>
            <w:r>
              <w:rPr>
                <w:rStyle w:val="grey1"/>
                <w:rFonts w:ascii="Calibri" w:eastAsia="Times New Roman" w:hAnsi="Calibri" w:cs="Calibri"/>
                <w:color w:val="000000"/>
                <w:sz w:val="22"/>
                <w:szCs w:val="22"/>
                <w:lang w:val="en-GB"/>
              </w:rPr>
              <w:lastRenderedPageBreak/>
              <w:t>Response:</w:t>
            </w:r>
            <w:r>
              <w:rPr>
                <w:rStyle w:val="grey1"/>
                <w:rFonts w:ascii="Calibri" w:hAnsi="Calibri" w:cs="Calibri"/>
                <w:color w:val="000000"/>
                <w:sz w:val="22"/>
                <w:szCs w:val="22"/>
                <w:lang w:val="en-GB"/>
              </w:rPr>
              <w:t xml:space="preserve"> </w:t>
            </w:r>
          </w:p>
          <w:p w:rsidR="005601D0" w:rsidRDefault="00BD2717"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DONG Energy</w:t>
            </w:r>
            <w:r w:rsidR="00144664">
              <w:rPr>
                <w:rStyle w:val="grey1"/>
                <w:rFonts w:ascii="Calibri" w:hAnsi="Calibri" w:cs="Calibri"/>
                <w:color w:val="000000"/>
                <w:sz w:val="22"/>
                <w:szCs w:val="22"/>
                <w:lang w:val="en-GB"/>
              </w:rPr>
              <w:t xml:space="preserve"> believe</w:t>
            </w:r>
            <w:r>
              <w:rPr>
                <w:rStyle w:val="grey1"/>
                <w:rFonts w:ascii="Calibri" w:hAnsi="Calibri" w:cs="Calibri"/>
                <w:color w:val="000000"/>
                <w:sz w:val="22"/>
                <w:szCs w:val="22"/>
                <w:lang w:val="en-GB"/>
              </w:rPr>
              <w:t>s</w:t>
            </w:r>
            <w:r w:rsidR="00144664">
              <w:rPr>
                <w:rStyle w:val="grey1"/>
                <w:rFonts w:ascii="Calibri" w:hAnsi="Calibri" w:cs="Calibri"/>
                <w:color w:val="000000"/>
                <w:sz w:val="22"/>
                <w:szCs w:val="22"/>
                <w:lang w:val="en-GB"/>
              </w:rPr>
              <w:t xml:space="preserve"> that the current draft of the NC </w:t>
            </w:r>
            <w:r>
              <w:rPr>
                <w:rStyle w:val="grey1"/>
                <w:rFonts w:ascii="Calibri" w:hAnsi="Calibri" w:cs="Calibri"/>
                <w:color w:val="000000"/>
                <w:sz w:val="22"/>
                <w:szCs w:val="22"/>
                <w:lang w:val="en-GB"/>
              </w:rPr>
              <w:t>is</w:t>
            </w:r>
            <w:r w:rsidR="00144664">
              <w:rPr>
                <w:rStyle w:val="grey1"/>
                <w:rFonts w:ascii="Calibri" w:hAnsi="Calibri" w:cs="Calibri"/>
                <w:color w:val="000000"/>
                <w:sz w:val="22"/>
                <w:szCs w:val="22"/>
                <w:lang w:val="en-GB"/>
              </w:rPr>
              <w:t xml:space="preserve"> appropria</w:t>
            </w:r>
            <w:r>
              <w:rPr>
                <w:rStyle w:val="grey1"/>
                <w:rFonts w:ascii="Calibri" w:hAnsi="Calibri" w:cs="Calibri"/>
                <w:color w:val="000000"/>
                <w:sz w:val="22"/>
                <w:szCs w:val="22"/>
                <w:lang w:val="en-GB"/>
              </w:rPr>
              <w:t>te for an EU wide regulation</w:t>
            </w:r>
            <w:r w:rsidR="00402CC3">
              <w:rPr>
                <w:rStyle w:val="grey1"/>
                <w:rFonts w:ascii="Calibri" w:hAnsi="Calibri" w:cs="Calibri"/>
                <w:color w:val="000000"/>
                <w:sz w:val="22"/>
                <w:szCs w:val="22"/>
                <w:lang w:val="en-GB"/>
              </w:rPr>
              <w:t xml:space="preserve"> – bu</w:t>
            </w:r>
            <w:r w:rsidR="00772908">
              <w:rPr>
                <w:rStyle w:val="grey1"/>
                <w:rFonts w:ascii="Calibri" w:hAnsi="Calibri" w:cs="Calibri"/>
                <w:color w:val="000000"/>
                <w:sz w:val="22"/>
                <w:szCs w:val="22"/>
                <w:lang w:val="en-GB"/>
              </w:rPr>
              <w:t xml:space="preserve">t the references made in the NC are not in conformity with current legislation. </w:t>
            </w:r>
            <w:r w:rsidR="005601D0">
              <w:rPr>
                <w:rStyle w:val="grey1"/>
                <w:rFonts w:ascii="Calibri" w:hAnsi="Calibri" w:cs="Calibri"/>
                <w:color w:val="000000"/>
                <w:sz w:val="22"/>
                <w:szCs w:val="22"/>
                <w:lang w:val="en-GB"/>
              </w:rPr>
              <w:t>The NC refers to ERGEG’s “Revised Pilot Framework Guidelines on Capacity Allocation Mechanisms” (FG) dated December 7</w:t>
            </w:r>
            <w:r w:rsidR="005601D0" w:rsidRPr="005601D0">
              <w:rPr>
                <w:rStyle w:val="grey1"/>
                <w:rFonts w:ascii="Calibri" w:hAnsi="Calibri" w:cs="Calibri"/>
                <w:color w:val="000000"/>
                <w:sz w:val="22"/>
                <w:szCs w:val="22"/>
                <w:vertAlign w:val="superscript"/>
                <w:lang w:val="en-GB"/>
              </w:rPr>
              <w:t>th</w:t>
            </w:r>
            <w:r w:rsidR="005601D0">
              <w:rPr>
                <w:rStyle w:val="grey1"/>
                <w:rFonts w:ascii="Calibri" w:hAnsi="Calibri" w:cs="Calibri"/>
                <w:color w:val="000000"/>
                <w:sz w:val="22"/>
                <w:szCs w:val="22"/>
                <w:lang w:val="en-GB"/>
              </w:rPr>
              <w:t xml:space="preserve">, 2010 as the legal framework for the development of the NC.  DONG Energy would like to point out that these Framework Guidelines </w:t>
            </w:r>
            <w:r w:rsidR="00D77D0F">
              <w:rPr>
                <w:rStyle w:val="grey1"/>
                <w:rFonts w:ascii="Calibri" w:hAnsi="Calibri" w:cs="Calibri"/>
                <w:color w:val="000000"/>
                <w:sz w:val="22"/>
                <w:szCs w:val="22"/>
                <w:lang w:val="en-GB"/>
              </w:rPr>
              <w:t xml:space="preserve">does not constitute a binding document. </w:t>
            </w:r>
            <w:r w:rsidR="005601D0">
              <w:rPr>
                <w:rStyle w:val="grey1"/>
                <w:rFonts w:ascii="Calibri" w:hAnsi="Calibri" w:cs="Calibri"/>
                <w:color w:val="000000"/>
                <w:sz w:val="22"/>
                <w:szCs w:val="22"/>
                <w:lang w:val="en-GB"/>
              </w:rPr>
              <w:t xml:space="preserve"> </w:t>
            </w:r>
            <w:r w:rsidR="00D77D0F">
              <w:rPr>
                <w:rStyle w:val="grey1"/>
                <w:rFonts w:ascii="Calibri" w:hAnsi="Calibri" w:cs="Calibri"/>
                <w:color w:val="000000"/>
                <w:sz w:val="22"/>
                <w:szCs w:val="22"/>
                <w:lang w:val="en-GB"/>
              </w:rPr>
              <w:t>Historically all ERGEG’</w:t>
            </w:r>
            <w:r w:rsidR="005601D0">
              <w:rPr>
                <w:rStyle w:val="grey1"/>
                <w:rFonts w:ascii="Calibri" w:hAnsi="Calibri" w:cs="Calibri"/>
                <w:color w:val="000000"/>
                <w:sz w:val="22"/>
                <w:szCs w:val="22"/>
                <w:lang w:val="en-GB"/>
              </w:rPr>
              <w:t>s</w:t>
            </w:r>
            <w:r w:rsidR="00D77D0F">
              <w:rPr>
                <w:rStyle w:val="grey1"/>
                <w:rFonts w:ascii="Calibri" w:hAnsi="Calibri" w:cs="Calibri"/>
                <w:color w:val="000000"/>
                <w:sz w:val="22"/>
                <w:szCs w:val="22"/>
                <w:lang w:val="en-GB"/>
              </w:rPr>
              <w:t xml:space="preserve"> Guidelines were </w:t>
            </w:r>
            <w:r w:rsidR="00D77D0F" w:rsidRPr="00C67315">
              <w:rPr>
                <w:rStyle w:val="grey1"/>
                <w:rFonts w:ascii="Calibri" w:hAnsi="Calibri" w:cs="Calibri"/>
                <w:color w:val="000000"/>
                <w:sz w:val="22"/>
                <w:szCs w:val="22"/>
                <w:lang w:val="en-GB"/>
              </w:rPr>
              <w:t>voluntary</w:t>
            </w:r>
            <w:r w:rsidR="00D77D0F">
              <w:rPr>
                <w:rStyle w:val="grey1"/>
                <w:rFonts w:ascii="Calibri" w:hAnsi="Calibri" w:cs="Calibri"/>
                <w:color w:val="000000"/>
                <w:sz w:val="22"/>
                <w:szCs w:val="22"/>
                <w:lang w:val="en-GB"/>
              </w:rPr>
              <w:t xml:space="preserve"> and furthermore it is clearly</w:t>
            </w:r>
            <w:r w:rsidR="005601D0">
              <w:rPr>
                <w:rStyle w:val="grey1"/>
                <w:rFonts w:ascii="Calibri" w:hAnsi="Calibri" w:cs="Calibri"/>
                <w:color w:val="000000"/>
                <w:sz w:val="22"/>
                <w:szCs w:val="22"/>
                <w:lang w:val="en-GB"/>
              </w:rPr>
              <w:t xml:space="preserve"> stated in the </w:t>
            </w:r>
            <w:r w:rsidR="00772908">
              <w:rPr>
                <w:rStyle w:val="grey1"/>
                <w:rFonts w:ascii="Calibri" w:hAnsi="Calibri" w:cs="Calibri"/>
                <w:color w:val="000000"/>
                <w:sz w:val="22"/>
                <w:szCs w:val="22"/>
                <w:lang w:val="en-GB"/>
              </w:rPr>
              <w:t xml:space="preserve">Pilot </w:t>
            </w:r>
            <w:r w:rsidR="005601D0">
              <w:rPr>
                <w:rStyle w:val="grey1"/>
                <w:rFonts w:ascii="Calibri" w:hAnsi="Calibri" w:cs="Calibri"/>
                <w:color w:val="000000"/>
                <w:sz w:val="22"/>
                <w:szCs w:val="22"/>
                <w:lang w:val="en-GB"/>
              </w:rPr>
              <w:t xml:space="preserve">FG </w:t>
            </w:r>
            <w:r w:rsidR="00D77D0F">
              <w:rPr>
                <w:rStyle w:val="grey1"/>
                <w:rFonts w:ascii="Calibri" w:hAnsi="Calibri" w:cs="Calibri"/>
                <w:color w:val="000000"/>
                <w:sz w:val="22"/>
                <w:szCs w:val="22"/>
                <w:lang w:val="en-GB"/>
              </w:rPr>
              <w:t xml:space="preserve">that </w:t>
            </w:r>
            <w:r w:rsidR="005601D0">
              <w:rPr>
                <w:rStyle w:val="grey1"/>
                <w:rFonts w:ascii="Calibri" w:hAnsi="Calibri" w:cs="Calibri"/>
                <w:color w:val="000000"/>
                <w:sz w:val="22"/>
                <w:szCs w:val="22"/>
                <w:lang w:val="en-GB"/>
              </w:rPr>
              <w:t>it is “a report intended as input to ACER”. As ACER became operational on March 3</w:t>
            </w:r>
            <w:r w:rsidR="005601D0" w:rsidRPr="005601D0">
              <w:rPr>
                <w:rStyle w:val="grey1"/>
                <w:rFonts w:ascii="Calibri" w:hAnsi="Calibri" w:cs="Calibri"/>
                <w:color w:val="000000"/>
                <w:sz w:val="22"/>
                <w:szCs w:val="22"/>
                <w:vertAlign w:val="superscript"/>
                <w:lang w:val="en-GB"/>
              </w:rPr>
              <w:t>rd</w:t>
            </w:r>
            <w:r w:rsidR="005601D0">
              <w:rPr>
                <w:rStyle w:val="grey1"/>
                <w:rFonts w:ascii="Calibri" w:hAnsi="Calibri" w:cs="Calibri"/>
                <w:color w:val="000000"/>
                <w:sz w:val="22"/>
                <w:szCs w:val="22"/>
                <w:lang w:val="en-GB"/>
              </w:rPr>
              <w:t>, 2011 they published a draft consultation paper based upon the ERGEG input.</w:t>
            </w:r>
            <w:r w:rsidR="00FB13CE">
              <w:rPr>
                <w:rStyle w:val="grey1"/>
                <w:rFonts w:ascii="Calibri" w:hAnsi="Calibri" w:cs="Calibri"/>
                <w:color w:val="000000"/>
                <w:sz w:val="22"/>
                <w:szCs w:val="22"/>
                <w:lang w:val="en-GB"/>
              </w:rPr>
              <w:t xml:space="preserve"> Many stakeholders are not in agreement with </w:t>
            </w:r>
            <w:r w:rsidR="00402CC3">
              <w:rPr>
                <w:rStyle w:val="grey1"/>
                <w:rFonts w:ascii="Calibri" w:hAnsi="Calibri" w:cs="Calibri"/>
                <w:color w:val="000000"/>
                <w:sz w:val="22"/>
                <w:szCs w:val="22"/>
                <w:lang w:val="en-GB"/>
              </w:rPr>
              <w:t xml:space="preserve">major parts of </w:t>
            </w:r>
            <w:r w:rsidR="00FB13CE">
              <w:rPr>
                <w:rStyle w:val="grey1"/>
                <w:rFonts w:ascii="Calibri" w:hAnsi="Calibri" w:cs="Calibri"/>
                <w:color w:val="000000"/>
                <w:sz w:val="22"/>
                <w:szCs w:val="22"/>
                <w:lang w:val="en-GB"/>
              </w:rPr>
              <w:t>the draft consultation paper, which has been expressed in writing during the</w:t>
            </w:r>
            <w:r w:rsidR="00402CC3">
              <w:rPr>
                <w:rStyle w:val="grey1"/>
                <w:rFonts w:ascii="Calibri" w:hAnsi="Calibri" w:cs="Calibri"/>
                <w:color w:val="000000"/>
                <w:sz w:val="22"/>
                <w:szCs w:val="22"/>
                <w:lang w:val="en-GB"/>
              </w:rPr>
              <w:t xml:space="preserve"> FG </w:t>
            </w:r>
            <w:r w:rsidR="00FB13CE">
              <w:rPr>
                <w:rStyle w:val="grey1"/>
                <w:rFonts w:ascii="Calibri" w:hAnsi="Calibri" w:cs="Calibri"/>
                <w:color w:val="000000"/>
                <w:sz w:val="22"/>
                <w:szCs w:val="22"/>
                <w:lang w:val="en-GB"/>
              </w:rPr>
              <w:t>hearing process</w:t>
            </w:r>
            <w:r w:rsidR="00D77D0F">
              <w:rPr>
                <w:rStyle w:val="grey1"/>
                <w:rFonts w:ascii="Calibri" w:hAnsi="Calibri" w:cs="Calibri"/>
                <w:color w:val="000000"/>
                <w:sz w:val="22"/>
                <w:szCs w:val="22"/>
                <w:lang w:val="en-GB"/>
              </w:rPr>
              <w:t>, which is still ongoing</w:t>
            </w:r>
            <w:r w:rsidR="00FB13CE">
              <w:rPr>
                <w:rStyle w:val="grey1"/>
                <w:rFonts w:ascii="Calibri" w:hAnsi="Calibri" w:cs="Calibri"/>
                <w:color w:val="000000"/>
                <w:sz w:val="22"/>
                <w:szCs w:val="22"/>
                <w:lang w:val="en-GB"/>
              </w:rPr>
              <w:t xml:space="preserve">. As an example many stakeholders </w:t>
            </w:r>
            <w:r w:rsidR="00D36E8E">
              <w:rPr>
                <w:rStyle w:val="grey1"/>
                <w:rFonts w:ascii="Calibri" w:hAnsi="Calibri" w:cs="Calibri"/>
                <w:color w:val="000000"/>
                <w:sz w:val="22"/>
                <w:szCs w:val="22"/>
                <w:lang w:val="en-GB"/>
              </w:rPr>
              <w:t xml:space="preserve">including DONG Energy </w:t>
            </w:r>
            <w:r w:rsidR="00FB13CE">
              <w:rPr>
                <w:rStyle w:val="grey1"/>
                <w:rFonts w:ascii="Calibri" w:hAnsi="Calibri" w:cs="Calibri"/>
                <w:color w:val="000000"/>
                <w:sz w:val="22"/>
                <w:szCs w:val="22"/>
                <w:lang w:val="en-GB"/>
              </w:rPr>
              <w:t xml:space="preserve">are very strongly in opposition to the suggestions in the hearing on mandatory bundling of all firm capacities and the amendment of existing contracts. Therefore, it is not acceptable that the NC includes these provisions as if they </w:t>
            </w:r>
            <w:r w:rsidR="00402CC3">
              <w:rPr>
                <w:rStyle w:val="grey1"/>
                <w:rFonts w:ascii="Calibri" w:hAnsi="Calibri" w:cs="Calibri"/>
                <w:color w:val="000000"/>
                <w:sz w:val="22"/>
                <w:szCs w:val="22"/>
                <w:lang w:val="en-GB"/>
              </w:rPr>
              <w:t>have already been confirmed in the FG.</w:t>
            </w:r>
            <w:r w:rsidR="005601D0">
              <w:rPr>
                <w:rStyle w:val="grey1"/>
                <w:rFonts w:ascii="Calibri" w:hAnsi="Calibri" w:cs="Calibri"/>
                <w:color w:val="000000"/>
                <w:sz w:val="22"/>
                <w:szCs w:val="22"/>
                <w:lang w:val="en-GB"/>
              </w:rPr>
              <w:t xml:space="preserve"> </w:t>
            </w:r>
          </w:p>
          <w:p w:rsidR="00402CC3" w:rsidRDefault="00402CC3" w:rsidP="00AC4840">
            <w:pPr>
              <w:pStyle w:val="Txt"/>
              <w:spacing w:line="276" w:lineRule="auto"/>
              <w:ind w:right="0"/>
              <w:rPr>
                <w:rStyle w:val="grey1"/>
                <w:rFonts w:ascii="Calibri" w:hAnsi="Calibri" w:cs="Calibri"/>
                <w:color w:val="000000"/>
                <w:sz w:val="22"/>
                <w:szCs w:val="22"/>
                <w:lang w:val="en-GB"/>
              </w:rPr>
            </w:pPr>
          </w:p>
          <w:p w:rsidR="00973F5D" w:rsidRDefault="00973F5D"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The ENTSOG cover letter to this NC states that “this network code was developed under the assumption that the TSO’s revenues are guaranteed by a tariff system, which is consistent with the capacity allocation mechanisms proposed in this Network Code”. See</w:t>
            </w:r>
            <w:r w:rsidR="001E10BE">
              <w:rPr>
                <w:rStyle w:val="grey1"/>
                <w:rFonts w:ascii="Calibri" w:hAnsi="Calibri" w:cs="Calibri"/>
                <w:color w:val="000000"/>
                <w:sz w:val="22"/>
                <w:szCs w:val="22"/>
                <w:lang w:val="en-GB"/>
              </w:rPr>
              <w:t>n</w:t>
            </w:r>
            <w:r>
              <w:rPr>
                <w:rStyle w:val="grey1"/>
                <w:rFonts w:ascii="Calibri" w:hAnsi="Calibri" w:cs="Calibri"/>
                <w:color w:val="000000"/>
                <w:sz w:val="22"/>
                <w:szCs w:val="22"/>
                <w:lang w:val="en-GB"/>
              </w:rPr>
              <w:t xml:space="preserve"> from our perspective it is not the NC but the services of the TSO’s, which should determine the revenues of the TSO’s. </w:t>
            </w:r>
            <w:r w:rsidR="00402CC3">
              <w:rPr>
                <w:rStyle w:val="grey1"/>
                <w:rFonts w:ascii="Calibri" w:hAnsi="Calibri" w:cs="Calibri"/>
                <w:color w:val="000000"/>
                <w:sz w:val="22"/>
                <w:szCs w:val="22"/>
                <w:lang w:val="en-GB"/>
              </w:rPr>
              <w:t>DONG Energy does not support an</w:t>
            </w:r>
            <w:r>
              <w:rPr>
                <w:rStyle w:val="grey1"/>
                <w:rFonts w:ascii="Calibri" w:hAnsi="Calibri" w:cs="Calibri"/>
                <w:color w:val="000000"/>
                <w:sz w:val="22"/>
                <w:szCs w:val="22"/>
                <w:lang w:val="en-GB"/>
              </w:rPr>
              <w:t xml:space="preserve"> automatic revenue guarantee</w:t>
            </w:r>
            <w:r w:rsidR="00402CC3">
              <w:rPr>
                <w:rStyle w:val="grey1"/>
                <w:rFonts w:ascii="Calibri" w:hAnsi="Calibri" w:cs="Calibri"/>
                <w:color w:val="000000"/>
                <w:sz w:val="22"/>
                <w:szCs w:val="22"/>
                <w:lang w:val="en-GB"/>
              </w:rPr>
              <w:t xml:space="preserve"> for TSO’s</w:t>
            </w:r>
            <w:r>
              <w:rPr>
                <w:rStyle w:val="grey1"/>
                <w:rFonts w:ascii="Calibri" w:hAnsi="Calibri" w:cs="Calibri"/>
                <w:color w:val="000000"/>
                <w:sz w:val="22"/>
                <w:szCs w:val="22"/>
                <w:lang w:val="en-GB"/>
              </w:rPr>
              <w:t>.</w:t>
            </w:r>
          </w:p>
          <w:p w:rsidR="00402CC3" w:rsidRDefault="00402CC3" w:rsidP="00AC4840">
            <w:pPr>
              <w:pStyle w:val="Txt"/>
              <w:spacing w:line="276" w:lineRule="auto"/>
              <w:ind w:right="0"/>
              <w:rPr>
                <w:rStyle w:val="grey1"/>
                <w:rFonts w:ascii="Calibri" w:hAnsi="Calibri" w:cs="Calibri"/>
                <w:color w:val="000000"/>
                <w:sz w:val="22"/>
                <w:szCs w:val="22"/>
                <w:lang w:val="en-GB"/>
              </w:rPr>
            </w:pPr>
          </w:p>
          <w:p w:rsidR="00BD2717" w:rsidRDefault="001E10BE"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DONG Energy </w:t>
            </w:r>
            <w:r w:rsidR="00BD2717">
              <w:rPr>
                <w:rStyle w:val="grey1"/>
                <w:rFonts w:ascii="Calibri" w:hAnsi="Calibri" w:cs="Calibri"/>
                <w:color w:val="000000"/>
                <w:sz w:val="22"/>
                <w:szCs w:val="22"/>
                <w:lang w:val="en-GB"/>
              </w:rPr>
              <w:t xml:space="preserve">would like to emphasize that we do not favour the single round auction system as outlined in the NC – instead we prefer coordinated, multi-round </w:t>
            </w:r>
            <w:r w:rsidR="007D7194">
              <w:rPr>
                <w:rStyle w:val="grey1"/>
                <w:rFonts w:ascii="Calibri" w:hAnsi="Calibri" w:cs="Calibri"/>
                <w:color w:val="000000"/>
                <w:sz w:val="22"/>
                <w:szCs w:val="22"/>
                <w:lang w:val="en-GB"/>
              </w:rPr>
              <w:t>ascending clock auctions which will allow the bidders to adjust their strategy and demand according to the price developments across the total volume of different products as the auction progresses.  This method has proved itself worldwide e.g. by the allocation of balance margin in the USA.</w:t>
            </w:r>
          </w:p>
          <w:p w:rsidR="00144664" w:rsidRPr="00542F09" w:rsidRDefault="00144664" w:rsidP="00AC4840">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vAlign w:val="center"/>
          </w:tcPr>
          <w:p w:rsidR="00144664" w:rsidRPr="00075022" w:rsidRDefault="00144664" w:rsidP="00AC4840">
            <w:pPr>
              <w:spacing w:before="120" w:after="120"/>
              <w:jc w:val="both"/>
              <w:rPr>
                <w:rStyle w:val="grey1"/>
                <w:rFonts w:cs="Calibri"/>
                <w:b/>
                <w:color w:val="000000"/>
              </w:rPr>
            </w:pPr>
            <w:r w:rsidRPr="00075022">
              <w:rPr>
                <w:rFonts w:cs="Calibri"/>
                <w:b/>
              </w:rPr>
              <w:t>Question 2</w:t>
            </w:r>
            <w:r>
              <w:rPr>
                <w:rFonts w:cs="Calibri"/>
                <w:b/>
              </w:rPr>
              <w:t xml:space="preserve">: </w:t>
            </w:r>
            <w:r w:rsidRPr="00075022">
              <w:rPr>
                <w:rFonts w:cs="Calibri"/>
              </w:rPr>
              <w:t>Should this NC set out detailed rules? If so, do you consider that where changes are necessary, they should be made through the change process foreseen in the Third Package, or (if legally possible) through a separate procedure where modifications can be made following stakeholder</w:t>
            </w:r>
            <w:r w:rsidRPr="00075022">
              <w:rPr>
                <w:rFonts w:cs="Calibri"/>
                <w:i/>
              </w:rPr>
              <w:t xml:space="preserve"> </w:t>
            </w:r>
            <w:r w:rsidRPr="00075022">
              <w:rPr>
                <w:rFonts w:cs="Calibri"/>
              </w:rPr>
              <w:t>request and discussion?</w:t>
            </w:r>
          </w:p>
        </w:tc>
      </w:tr>
      <w:tr w:rsidR="00144664" w:rsidRPr="00075022" w:rsidTr="00AC4840">
        <w:tc>
          <w:tcPr>
            <w:tcW w:w="9242" w:type="dxa"/>
            <w:shd w:val="clear" w:color="auto" w:fill="auto"/>
          </w:tcPr>
          <w:p w:rsidR="007A665C" w:rsidRDefault="00144664" w:rsidP="00AC4840">
            <w:pPr>
              <w:pStyle w:val="Txt"/>
              <w:spacing w:line="276" w:lineRule="auto"/>
              <w:ind w:right="0"/>
              <w:rPr>
                <w:rStyle w:val="grey1"/>
                <w:rFonts w:ascii="Calibri"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r>
              <w:rPr>
                <w:rStyle w:val="grey1"/>
                <w:rFonts w:ascii="Calibri" w:hAnsi="Calibri" w:cs="Calibri"/>
                <w:color w:val="000000"/>
                <w:sz w:val="22"/>
                <w:szCs w:val="22"/>
                <w:lang w:val="en-GB"/>
              </w:rPr>
              <w:t xml:space="preserve"> </w:t>
            </w:r>
          </w:p>
          <w:p w:rsidR="007A665C" w:rsidRDefault="007A665C"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DONG Energy believes that the level of detail expressed in the NC will suffice. If changes are to be made we think it must happen </w:t>
            </w:r>
            <w:r w:rsidR="004D5926">
              <w:rPr>
                <w:rStyle w:val="grey1"/>
                <w:rFonts w:ascii="Calibri" w:hAnsi="Calibri" w:cs="Calibri"/>
                <w:color w:val="000000"/>
                <w:sz w:val="22"/>
                <w:szCs w:val="22"/>
                <w:lang w:val="en-GB"/>
              </w:rPr>
              <w:t xml:space="preserve">in a transparent manner with the full involvement of stakeholders. If </w:t>
            </w:r>
            <w:proofErr w:type="spellStart"/>
            <w:r w:rsidR="004D5926">
              <w:rPr>
                <w:rStyle w:val="grey1"/>
                <w:rFonts w:ascii="Calibri" w:hAnsi="Calibri" w:cs="Calibri"/>
                <w:color w:val="000000"/>
                <w:sz w:val="22"/>
                <w:szCs w:val="22"/>
                <w:lang w:val="en-GB"/>
              </w:rPr>
              <w:t>comitology</w:t>
            </w:r>
            <w:proofErr w:type="spellEnd"/>
            <w:r w:rsidR="004D5926">
              <w:rPr>
                <w:rStyle w:val="grey1"/>
                <w:rFonts w:ascii="Calibri" w:hAnsi="Calibri" w:cs="Calibri"/>
                <w:color w:val="000000"/>
                <w:sz w:val="22"/>
                <w:szCs w:val="22"/>
                <w:lang w:val="en-GB"/>
              </w:rPr>
              <w:t xml:space="preserve"> is used, then it should be </w:t>
            </w:r>
            <w:r w:rsidR="007E340C">
              <w:rPr>
                <w:rStyle w:val="grey1"/>
                <w:rFonts w:ascii="Calibri" w:hAnsi="Calibri" w:cs="Calibri"/>
                <w:color w:val="000000"/>
                <w:sz w:val="22"/>
                <w:szCs w:val="22"/>
                <w:lang w:val="en-GB"/>
              </w:rPr>
              <w:t>under</w:t>
            </w:r>
            <w:r w:rsidR="004D5926">
              <w:rPr>
                <w:rStyle w:val="grey1"/>
                <w:rFonts w:ascii="Calibri" w:hAnsi="Calibri" w:cs="Calibri"/>
                <w:color w:val="000000"/>
                <w:sz w:val="22"/>
                <w:szCs w:val="22"/>
                <w:lang w:val="en-GB"/>
              </w:rPr>
              <w:t xml:space="preserve"> full control of Member States and </w:t>
            </w:r>
            <w:r w:rsidR="00895126">
              <w:rPr>
                <w:rStyle w:val="grey1"/>
                <w:rFonts w:ascii="Calibri" w:hAnsi="Calibri" w:cs="Calibri"/>
                <w:color w:val="000000"/>
                <w:sz w:val="22"/>
                <w:szCs w:val="22"/>
                <w:lang w:val="en-GB"/>
              </w:rPr>
              <w:t>t</w:t>
            </w:r>
            <w:r w:rsidR="004D5926">
              <w:rPr>
                <w:rStyle w:val="grey1"/>
                <w:rFonts w:ascii="Calibri" w:hAnsi="Calibri" w:cs="Calibri"/>
                <w:color w:val="000000"/>
                <w:sz w:val="22"/>
                <w:szCs w:val="22"/>
                <w:lang w:val="en-GB"/>
              </w:rPr>
              <w:t>he EU Parliament.</w:t>
            </w:r>
          </w:p>
          <w:p w:rsidR="00144664" w:rsidRPr="00542F09" w:rsidRDefault="00144664" w:rsidP="004D5926">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color w:val="auto"/>
              </w:rPr>
            </w:pPr>
            <w:r w:rsidRPr="00075022">
              <w:rPr>
                <w:rFonts w:cs="Calibri"/>
                <w:b/>
              </w:rPr>
              <w:t>Question 3</w:t>
            </w:r>
            <w:r>
              <w:rPr>
                <w:rFonts w:cs="Calibri"/>
                <w:b/>
              </w:rPr>
              <w:t xml:space="preserve">: </w:t>
            </w:r>
            <w:r w:rsidRPr="00075022">
              <w:rPr>
                <w:rFonts w:cs="Calibri"/>
              </w:rPr>
              <w:t xml:space="preserve">In your view, is it credible that principles and details of </w:t>
            </w:r>
            <w:smartTag w:uri="urn:schemas-microsoft-com:office:smarttags" w:element="place">
              <w:r w:rsidRPr="00075022">
                <w:rPr>
                  <w:rFonts w:cs="Calibri"/>
                </w:rPr>
                <w:t>CAM</w:t>
              </w:r>
            </w:smartTag>
            <w:r w:rsidRPr="00075022">
              <w:rPr>
                <w:rFonts w:cs="Calibri"/>
              </w:rPr>
              <w:t xml:space="preserve"> mechanisms could be separately identified? What elements of this (or other) code(s) might be considered for a “lighter” change process and how might such changes be made binding?</w:t>
            </w:r>
          </w:p>
        </w:tc>
      </w:tr>
      <w:tr w:rsidR="00144664" w:rsidRPr="00075022" w:rsidTr="00AC4840">
        <w:tc>
          <w:tcPr>
            <w:tcW w:w="9242" w:type="dxa"/>
            <w:shd w:val="clear" w:color="auto" w:fill="auto"/>
          </w:tcPr>
          <w:p w:rsidR="00144664" w:rsidRDefault="00144664" w:rsidP="004D5926">
            <w:pPr>
              <w:pStyle w:val="Txt"/>
              <w:spacing w:line="276" w:lineRule="auto"/>
              <w:ind w:right="0"/>
              <w:rPr>
                <w:rStyle w:val="grey1"/>
                <w:rFonts w:ascii="Calibri" w:hAnsi="Calibri" w:cs="Calibri"/>
                <w:color w:val="000000"/>
                <w:sz w:val="22"/>
                <w:szCs w:val="22"/>
                <w:lang w:val="en-GB"/>
              </w:rPr>
            </w:pPr>
            <w:r>
              <w:rPr>
                <w:rStyle w:val="grey1"/>
                <w:rFonts w:ascii="Calibri" w:eastAsia="Times New Roman" w:hAnsi="Calibri" w:cs="Calibri"/>
                <w:color w:val="000000"/>
                <w:sz w:val="22"/>
                <w:szCs w:val="22"/>
                <w:lang w:val="en-GB"/>
              </w:rPr>
              <w:t>Response:</w:t>
            </w:r>
            <w:r>
              <w:rPr>
                <w:rStyle w:val="grey1"/>
                <w:rFonts w:ascii="Calibri" w:hAnsi="Calibri" w:cs="Calibri"/>
                <w:color w:val="000000"/>
                <w:sz w:val="22"/>
                <w:szCs w:val="22"/>
                <w:lang w:val="en-GB"/>
              </w:rPr>
              <w:t xml:space="preserve"> </w:t>
            </w:r>
          </w:p>
          <w:p w:rsidR="004D5926" w:rsidRPr="00542F09" w:rsidRDefault="004D5926" w:rsidP="004D5926">
            <w:pPr>
              <w:pStyle w:val="Txt"/>
              <w:spacing w:line="276" w:lineRule="auto"/>
              <w:ind w:right="0"/>
              <w:rPr>
                <w:rStyle w:val="grey1"/>
                <w:rFonts w:ascii="Calibri" w:eastAsia="Times New Roman" w:hAnsi="Calibri" w:cs="Calibri"/>
                <w:color w:val="000000"/>
                <w:sz w:val="22"/>
                <w:szCs w:val="22"/>
                <w:lang w:val="en-GB"/>
              </w:rPr>
            </w:pPr>
            <w:r>
              <w:rPr>
                <w:rStyle w:val="grey1"/>
                <w:rFonts w:ascii="Calibri" w:hAnsi="Calibri" w:cs="Calibri"/>
                <w:color w:val="000000"/>
                <w:sz w:val="22"/>
                <w:szCs w:val="22"/>
                <w:lang w:val="en-GB"/>
              </w:rPr>
              <w:t xml:space="preserve">DONG Energy would like to see that all changes of principles and essential details should go through the full </w:t>
            </w:r>
            <w:proofErr w:type="spellStart"/>
            <w:r w:rsidR="00772908">
              <w:rPr>
                <w:rStyle w:val="grey1"/>
                <w:rFonts w:ascii="Calibri" w:hAnsi="Calibri" w:cs="Calibri"/>
                <w:color w:val="000000"/>
                <w:sz w:val="22"/>
                <w:szCs w:val="22"/>
                <w:lang w:val="en-GB"/>
              </w:rPr>
              <w:t>comitology</w:t>
            </w:r>
            <w:proofErr w:type="spellEnd"/>
            <w:r w:rsidR="00772908">
              <w:rPr>
                <w:rStyle w:val="grey1"/>
                <w:rFonts w:ascii="Calibri" w:hAnsi="Calibri" w:cs="Calibri"/>
                <w:color w:val="000000"/>
                <w:sz w:val="22"/>
                <w:szCs w:val="22"/>
                <w:lang w:val="en-GB"/>
              </w:rPr>
              <w:t xml:space="preserve"> </w:t>
            </w:r>
            <w:r>
              <w:rPr>
                <w:rStyle w:val="grey1"/>
                <w:rFonts w:ascii="Calibri" w:hAnsi="Calibri" w:cs="Calibri"/>
                <w:color w:val="000000"/>
                <w:sz w:val="22"/>
                <w:szCs w:val="22"/>
                <w:lang w:val="en-GB"/>
              </w:rPr>
              <w:t xml:space="preserve">approval process. </w:t>
            </w:r>
            <w:r w:rsidR="00772908">
              <w:rPr>
                <w:rStyle w:val="grey1"/>
                <w:rFonts w:ascii="Calibri" w:hAnsi="Calibri" w:cs="Calibri"/>
                <w:color w:val="000000"/>
                <w:sz w:val="22"/>
                <w:szCs w:val="22"/>
                <w:lang w:val="en-GB"/>
              </w:rPr>
              <w:t xml:space="preserve">Minor “handbook” changes may be agreed upon by a lighter process involving all stakeholders. </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color w:val="auto"/>
              </w:rPr>
            </w:pPr>
            <w:r w:rsidRPr="00075022">
              <w:rPr>
                <w:rFonts w:cs="Calibri"/>
                <w:b/>
              </w:rPr>
              <w:t>Question 4</w:t>
            </w:r>
            <w:r>
              <w:rPr>
                <w:rFonts w:cs="Calibri"/>
                <w:b/>
              </w:rPr>
              <w:t xml:space="preserve">: </w:t>
            </w:r>
            <w:r w:rsidRPr="00075022">
              <w:rPr>
                <w:rFonts w:cs="Calibri"/>
              </w:rPr>
              <w:t>How do you consider that a process to review the handbook, and to modify it where necessary, should be designed?</w:t>
            </w:r>
          </w:p>
        </w:tc>
      </w:tr>
      <w:tr w:rsidR="00144664" w:rsidRPr="00075022" w:rsidTr="00AC4840">
        <w:tc>
          <w:tcPr>
            <w:tcW w:w="9242" w:type="dxa"/>
            <w:shd w:val="clear" w:color="auto" w:fill="auto"/>
          </w:tcPr>
          <w:p w:rsidR="003131B5" w:rsidRDefault="00144664" w:rsidP="00AC4840">
            <w:pPr>
              <w:pStyle w:val="Txt"/>
              <w:spacing w:line="276" w:lineRule="auto"/>
              <w:ind w:right="0"/>
              <w:rPr>
                <w:rStyle w:val="grey1"/>
                <w:rFonts w:ascii="Calibri" w:hAnsi="Calibri" w:cs="Calibri"/>
                <w:color w:val="000000"/>
                <w:sz w:val="22"/>
                <w:szCs w:val="22"/>
                <w:lang w:val="en-GB"/>
              </w:rPr>
            </w:pPr>
            <w:r>
              <w:rPr>
                <w:rStyle w:val="grey1"/>
                <w:rFonts w:ascii="Calibri" w:eastAsia="Times New Roman" w:hAnsi="Calibri" w:cs="Calibri"/>
                <w:color w:val="000000"/>
                <w:sz w:val="22"/>
                <w:szCs w:val="22"/>
                <w:lang w:val="en-GB"/>
              </w:rPr>
              <w:t>Response:</w:t>
            </w:r>
            <w:r>
              <w:rPr>
                <w:rStyle w:val="grey1"/>
                <w:rFonts w:ascii="Calibri" w:hAnsi="Calibri" w:cs="Calibri"/>
                <w:color w:val="000000"/>
                <w:sz w:val="22"/>
                <w:szCs w:val="22"/>
                <w:lang w:val="en-GB"/>
              </w:rPr>
              <w:t xml:space="preserve"> </w:t>
            </w:r>
          </w:p>
          <w:p w:rsidR="003131B5" w:rsidRDefault="003131B5"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The scope of the proposed “handbook” seems right; however DONG Energy would like to sug</w:t>
            </w:r>
            <w:r w:rsidR="00125566">
              <w:rPr>
                <w:rStyle w:val="grey1"/>
                <w:rFonts w:ascii="Calibri" w:hAnsi="Calibri" w:cs="Calibri"/>
                <w:color w:val="000000"/>
                <w:sz w:val="22"/>
                <w:szCs w:val="22"/>
                <w:lang w:val="en-GB"/>
              </w:rPr>
              <w:t xml:space="preserve">gest that </w:t>
            </w:r>
            <w:r>
              <w:rPr>
                <w:rStyle w:val="grey1"/>
                <w:rFonts w:ascii="Calibri" w:hAnsi="Calibri" w:cs="Calibri"/>
                <w:color w:val="000000"/>
                <w:sz w:val="22"/>
                <w:szCs w:val="22"/>
                <w:lang w:val="en-GB"/>
              </w:rPr>
              <w:t xml:space="preserve">this handbook and other operational </w:t>
            </w:r>
            <w:r w:rsidR="00125566">
              <w:rPr>
                <w:rStyle w:val="grey1"/>
                <w:rFonts w:ascii="Calibri" w:hAnsi="Calibri" w:cs="Calibri"/>
                <w:color w:val="000000"/>
                <w:sz w:val="22"/>
                <w:szCs w:val="22"/>
                <w:lang w:val="en-GB"/>
              </w:rPr>
              <w:t xml:space="preserve">matters should be handled by the Network Codes for Interoperability. </w:t>
            </w:r>
            <w:r>
              <w:rPr>
                <w:rStyle w:val="grey1"/>
                <w:rFonts w:ascii="Calibri" w:hAnsi="Calibri" w:cs="Calibri"/>
                <w:color w:val="000000"/>
                <w:sz w:val="22"/>
                <w:szCs w:val="22"/>
                <w:lang w:val="en-GB"/>
              </w:rPr>
              <w:t xml:space="preserve"> </w:t>
            </w:r>
            <w:r w:rsidR="00125566">
              <w:rPr>
                <w:rStyle w:val="grey1"/>
                <w:rFonts w:ascii="Calibri" w:hAnsi="Calibri" w:cs="Calibri"/>
                <w:color w:val="000000"/>
                <w:sz w:val="22"/>
                <w:szCs w:val="22"/>
                <w:lang w:val="en-GB"/>
              </w:rPr>
              <w:t xml:space="preserve">This would also be the right forum to discuss lead-times, change of operational details etc. </w:t>
            </w:r>
          </w:p>
          <w:p w:rsidR="00144664" w:rsidRPr="00542F09" w:rsidRDefault="00144664" w:rsidP="00AC4840">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121CFF" w:rsidRDefault="00144664" w:rsidP="00AC4840">
            <w:pPr>
              <w:spacing w:before="120" w:after="120"/>
              <w:jc w:val="both"/>
              <w:rPr>
                <w:rStyle w:val="grey1"/>
                <w:rFonts w:cs="Calibri"/>
                <w:color w:val="auto"/>
              </w:rPr>
            </w:pPr>
            <w:r w:rsidRPr="00075022">
              <w:rPr>
                <w:rFonts w:cs="Calibri"/>
                <w:b/>
              </w:rPr>
              <w:t>Question 5</w:t>
            </w:r>
            <w:r>
              <w:rPr>
                <w:rFonts w:cs="Calibri"/>
                <w:b/>
              </w:rPr>
              <w:t xml:space="preserve">: </w:t>
            </w:r>
            <w:r w:rsidRPr="00075022">
              <w:rPr>
                <w:rFonts w:cs="Calibri"/>
              </w:rPr>
              <w:t xml:space="preserve">Do you agree with the NC proposal for long term auctions of quarterly products? If not, please explain your proposed alternative and the rationale for this. </w:t>
            </w:r>
          </w:p>
        </w:tc>
      </w:tr>
      <w:tr w:rsidR="00144664" w:rsidRPr="00075022" w:rsidTr="00AC4840">
        <w:tc>
          <w:tcPr>
            <w:tcW w:w="9242" w:type="dxa"/>
            <w:shd w:val="clear" w:color="auto" w:fill="auto"/>
          </w:tcPr>
          <w:p w:rsidR="00125566" w:rsidRDefault="00144664" w:rsidP="00AC4840">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r>
              <w:rPr>
                <w:rStyle w:val="grey1"/>
                <w:rFonts w:ascii="Calibri" w:eastAsia="Times New Roman" w:hAnsi="Calibri" w:cs="Calibri"/>
                <w:color w:val="000000"/>
                <w:sz w:val="22"/>
                <w:szCs w:val="22"/>
                <w:lang w:val="en-GB"/>
              </w:rPr>
              <w:t xml:space="preserve"> </w:t>
            </w:r>
          </w:p>
          <w:p w:rsidR="00413BB1" w:rsidRDefault="00125566" w:rsidP="007E340C">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DONG Energy </w:t>
            </w:r>
            <w:r w:rsidR="00D44DA0">
              <w:rPr>
                <w:rStyle w:val="grey1"/>
                <w:rFonts w:ascii="Calibri" w:eastAsia="Times New Roman" w:hAnsi="Calibri" w:cs="Calibri"/>
                <w:color w:val="000000"/>
                <w:sz w:val="22"/>
                <w:szCs w:val="22"/>
                <w:lang w:val="en-GB"/>
              </w:rPr>
              <w:t xml:space="preserve">strongly encourages </w:t>
            </w:r>
            <w:r w:rsidR="00DC4EF8">
              <w:rPr>
                <w:rStyle w:val="grey1"/>
                <w:rFonts w:ascii="Calibri" w:eastAsia="Times New Roman" w:hAnsi="Calibri" w:cs="Calibri"/>
                <w:color w:val="000000"/>
                <w:sz w:val="22"/>
                <w:szCs w:val="22"/>
                <w:lang w:val="en-GB"/>
              </w:rPr>
              <w:t>the use of</w:t>
            </w:r>
            <w:r>
              <w:rPr>
                <w:rStyle w:val="grey1"/>
                <w:rFonts w:ascii="Calibri" w:eastAsia="Times New Roman" w:hAnsi="Calibri" w:cs="Calibri"/>
                <w:color w:val="000000"/>
                <w:sz w:val="22"/>
                <w:szCs w:val="22"/>
                <w:lang w:val="en-GB"/>
              </w:rPr>
              <w:t xml:space="preserve"> annual products</w:t>
            </w:r>
            <w:r w:rsidR="00D44DA0">
              <w:rPr>
                <w:rStyle w:val="grey1"/>
                <w:rFonts w:ascii="Calibri" w:eastAsia="Times New Roman" w:hAnsi="Calibri" w:cs="Calibri"/>
                <w:color w:val="000000"/>
                <w:sz w:val="22"/>
                <w:szCs w:val="22"/>
                <w:lang w:val="en-GB"/>
              </w:rPr>
              <w:t xml:space="preserve"> f</w:t>
            </w:r>
            <w:r>
              <w:rPr>
                <w:rStyle w:val="grey1"/>
                <w:rFonts w:ascii="Calibri" w:eastAsia="Times New Roman" w:hAnsi="Calibri" w:cs="Calibri"/>
                <w:color w:val="000000"/>
                <w:sz w:val="22"/>
                <w:szCs w:val="22"/>
                <w:lang w:val="en-GB"/>
              </w:rPr>
              <w:t>or year</w:t>
            </w:r>
            <w:r w:rsidR="00D44DA0">
              <w:rPr>
                <w:rStyle w:val="grey1"/>
                <w:rFonts w:ascii="Calibri" w:eastAsia="Times New Roman" w:hAnsi="Calibri" w:cs="Calibri"/>
                <w:color w:val="000000"/>
                <w:sz w:val="22"/>
                <w:szCs w:val="22"/>
                <w:lang w:val="en-GB"/>
              </w:rPr>
              <w:t>s</w:t>
            </w:r>
            <w:r>
              <w:rPr>
                <w:rStyle w:val="grey1"/>
                <w:rFonts w:ascii="Calibri" w:eastAsia="Times New Roman" w:hAnsi="Calibri" w:cs="Calibri"/>
                <w:color w:val="000000"/>
                <w:sz w:val="22"/>
                <w:szCs w:val="22"/>
                <w:lang w:val="en-GB"/>
              </w:rPr>
              <w:t xml:space="preserve"> 3-15</w:t>
            </w:r>
            <w:r w:rsidR="00DC4EF8">
              <w:rPr>
                <w:rStyle w:val="grey1"/>
                <w:rFonts w:ascii="Calibri" w:eastAsia="Times New Roman" w:hAnsi="Calibri" w:cs="Calibri"/>
                <w:color w:val="000000"/>
                <w:sz w:val="22"/>
                <w:szCs w:val="22"/>
                <w:lang w:val="en-GB"/>
              </w:rPr>
              <w:t xml:space="preserve"> </w:t>
            </w:r>
            <w:r w:rsidR="00D44DA0">
              <w:rPr>
                <w:rStyle w:val="grey1"/>
                <w:rFonts w:ascii="Calibri" w:eastAsia="Times New Roman" w:hAnsi="Calibri" w:cs="Calibri"/>
                <w:color w:val="000000"/>
                <w:sz w:val="22"/>
                <w:szCs w:val="22"/>
                <w:lang w:val="en-GB"/>
              </w:rPr>
              <w:t>instead of</w:t>
            </w:r>
            <w:r w:rsidR="00DC4EF8">
              <w:rPr>
                <w:rStyle w:val="grey1"/>
                <w:rFonts w:ascii="Calibri" w:eastAsia="Times New Roman" w:hAnsi="Calibri" w:cs="Calibri"/>
                <w:color w:val="000000"/>
                <w:sz w:val="22"/>
                <w:szCs w:val="22"/>
                <w:lang w:val="en-GB"/>
              </w:rPr>
              <w:t xml:space="preserve"> the proposed quarterly products</w:t>
            </w:r>
            <w:r w:rsidR="00D44DA0">
              <w:rPr>
                <w:rStyle w:val="grey1"/>
                <w:rFonts w:ascii="Calibri" w:eastAsia="Times New Roman" w:hAnsi="Calibri" w:cs="Calibri"/>
                <w:color w:val="000000"/>
                <w:sz w:val="22"/>
                <w:szCs w:val="22"/>
                <w:lang w:val="en-GB"/>
              </w:rPr>
              <w:t xml:space="preserve"> as proposed by ENTSOG</w:t>
            </w:r>
            <w:r>
              <w:rPr>
                <w:rStyle w:val="grey1"/>
                <w:rFonts w:ascii="Calibri" w:eastAsia="Times New Roman" w:hAnsi="Calibri" w:cs="Calibri"/>
                <w:color w:val="000000"/>
                <w:sz w:val="22"/>
                <w:szCs w:val="22"/>
                <w:lang w:val="en-GB"/>
              </w:rPr>
              <w:t xml:space="preserve">. </w:t>
            </w:r>
          </w:p>
          <w:p w:rsidR="00A70210" w:rsidRDefault="00A70210" w:rsidP="007E340C">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Taking into consideration that the physical environment on the continent is very different compared to the UK e.g. with regard to the changing needs for transport of transit volumes we </w:t>
            </w:r>
            <w:r w:rsidR="00FF159A">
              <w:rPr>
                <w:rStyle w:val="grey1"/>
                <w:rFonts w:ascii="Calibri" w:eastAsia="Times New Roman" w:hAnsi="Calibri" w:cs="Calibri"/>
                <w:color w:val="000000"/>
                <w:sz w:val="22"/>
                <w:szCs w:val="22"/>
                <w:lang w:val="en-GB"/>
              </w:rPr>
              <w:t xml:space="preserve">think that shippers are likely to face physical congestion – especially during certain winter quarters, which cannot in time be resolved though new investments because the investment trigger will be activated too late.   </w:t>
            </w:r>
          </w:p>
          <w:p w:rsidR="00FF159A" w:rsidRDefault="00125566" w:rsidP="007E340C">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At the same time we think that TSO’s </w:t>
            </w:r>
            <w:r w:rsidR="00501F1C">
              <w:rPr>
                <w:rStyle w:val="grey1"/>
                <w:rFonts w:ascii="Calibri" w:eastAsia="Times New Roman" w:hAnsi="Calibri" w:cs="Calibri"/>
                <w:color w:val="000000"/>
                <w:sz w:val="22"/>
                <w:szCs w:val="22"/>
                <w:lang w:val="en-GB"/>
              </w:rPr>
              <w:t xml:space="preserve">would be likely </w:t>
            </w:r>
            <w:r>
              <w:rPr>
                <w:rStyle w:val="grey1"/>
                <w:rFonts w:ascii="Calibri" w:eastAsia="Times New Roman" w:hAnsi="Calibri" w:cs="Calibri"/>
                <w:color w:val="000000"/>
                <w:sz w:val="22"/>
                <w:szCs w:val="22"/>
                <w:lang w:val="en-GB"/>
              </w:rPr>
              <w:t xml:space="preserve">to </w:t>
            </w:r>
            <w:r w:rsidR="00D20D21">
              <w:rPr>
                <w:rStyle w:val="grey1"/>
                <w:rFonts w:ascii="Calibri" w:eastAsia="Times New Roman" w:hAnsi="Calibri" w:cs="Calibri"/>
                <w:color w:val="000000"/>
                <w:sz w:val="22"/>
                <w:szCs w:val="22"/>
                <w:lang w:val="en-GB"/>
              </w:rPr>
              <w:t xml:space="preserve">try to </w:t>
            </w:r>
            <w:r>
              <w:rPr>
                <w:rStyle w:val="grey1"/>
                <w:rFonts w:ascii="Calibri" w:eastAsia="Times New Roman" w:hAnsi="Calibri" w:cs="Calibri"/>
                <w:color w:val="000000"/>
                <w:sz w:val="22"/>
                <w:szCs w:val="22"/>
                <w:lang w:val="en-GB"/>
              </w:rPr>
              <w:t xml:space="preserve">secure their </w:t>
            </w:r>
            <w:r w:rsidR="00D20D21">
              <w:rPr>
                <w:rStyle w:val="grey1"/>
                <w:rFonts w:ascii="Calibri" w:eastAsia="Times New Roman" w:hAnsi="Calibri" w:cs="Calibri"/>
                <w:color w:val="000000"/>
                <w:sz w:val="22"/>
                <w:szCs w:val="22"/>
                <w:lang w:val="en-GB"/>
              </w:rPr>
              <w:t xml:space="preserve">full </w:t>
            </w:r>
            <w:r>
              <w:rPr>
                <w:rStyle w:val="grey1"/>
                <w:rFonts w:ascii="Calibri" w:eastAsia="Times New Roman" w:hAnsi="Calibri" w:cs="Calibri"/>
                <w:color w:val="000000"/>
                <w:sz w:val="22"/>
                <w:szCs w:val="22"/>
                <w:lang w:val="en-GB"/>
              </w:rPr>
              <w:t xml:space="preserve">revenues on the two </w:t>
            </w:r>
            <w:r w:rsidR="00077B1F">
              <w:rPr>
                <w:rStyle w:val="grey1"/>
                <w:rFonts w:ascii="Calibri" w:eastAsia="Times New Roman" w:hAnsi="Calibri" w:cs="Calibri"/>
                <w:color w:val="000000"/>
                <w:sz w:val="22"/>
                <w:szCs w:val="22"/>
                <w:lang w:val="en-GB"/>
              </w:rPr>
              <w:t>winter</w:t>
            </w:r>
            <w:r>
              <w:rPr>
                <w:rStyle w:val="grey1"/>
                <w:rFonts w:ascii="Calibri" w:eastAsia="Times New Roman" w:hAnsi="Calibri" w:cs="Calibri"/>
                <w:color w:val="000000"/>
                <w:sz w:val="22"/>
                <w:szCs w:val="22"/>
                <w:lang w:val="en-GB"/>
              </w:rPr>
              <w:t xml:space="preserve"> quarters</w:t>
            </w:r>
            <w:r w:rsidR="00D20D21">
              <w:rPr>
                <w:rStyle w:val="grey1"/>
                <w:rFonts w:ascii="Calibri" w:eastAsia="Times New Roman" w:hAnsi="Calibri" w:cs="Calibri"/>
                <w:color w:val="000000"/>
                <w:sz w:val="22"/>
                <w:szCs w:val="22"/>
                <w:lang w:val="en-GB"/>
              </w:rPr>
              <w:t xml:space="preserve"> only </w:t>
            </w:r>
            <w:r w:rsidR="00DC4EF8">
              <w:rPr>
                <w:rStyle w:val="grey1"/>
                <w:rFonts w:ascii="Calibri" w:eastAsia="Times New Roman" w:hAnsi="Calibri" w:cs="Calibri"/>
                <w:color w:val="000000"/>
                <w:sz w:val="22"/>
                <w:szCs w:val="22"/>
                <w:lang w:val="en-GB"/>
              </w:rPr>
              <w:t xml:space="preserve">(via profiled reserve prices) </w:t>
            </w:r>
            <w:r w:rsidR="00077B1F">
              <w:rPr>
                <w:rStyle w:val="grey1"/>
                <w:rFonts w:ascii="Calibri" w:eastAsia="Times New Roman" w:hAnsi="Calibri" w:cs="Calibri"/>
                <w:color w:val="000000"/>
                <w:sz w:val="22"/>
                <w:szCs w:val="22"/>
                <w:lang w:val="en-GB"/>
              </w:rPr>
              <w:t xml:space="preserve">subsequently </w:t>
            </w:r>
            <w:r>
              <w:rPr>
                <w:rStyle w:val="grey1"/>
                <w:rFonts w:ascii="Calibri" w:eastAsia="Times New Roman" w:hAnsi="Calibri" w:cs="Calibri"/>
                <w:color w:val="000000"/>
                <w:sz w:val="22"/>
                <w:szCs w:val="22"/>
                <w:lang w:val="en-GB"/>
              </w:rPr>
              <w:t xml:space="preserve"> leading to a steep increase in the regulated/reserve price for these two quarters – and perhaps </w:t>
            </w:r>
            <w:r w:rsidR="00077B1F">
              <w:rPr>
                <w:rStyle w:val="grey1"/>
                <w:rFonts w:ascii="Calibri" w:eastAsia="Times New Roman" w:hAnsi="Calibri" w:cs="Calibri"/>
                <w:color w:val="000000"/>
                <w:sz w:val="22"/>
                <w:szCs w:val="22"/>
                <w:lang w:val="en-GB"/>
              </w:rPr>
              <w:t xml:space="preserve">also </w:t>
            </w:r>
            <w:r w:rsidR="00FF159A">
              <w:rPr>
                <w:rStyle w:val="grey1"/>
                <w:rFonts w:ascii="Calibri" w:eastAsia="Times New Roman" w:hAnsi="Calibri" w:cs="Calibri"/>
                <w:color w:val="000000"/>
                <w:sz w:val="22"/>
                <w:szCs w:val="22"/>
                <w:lang w:val="en-GB"/>
              </w:rPr>
              <w:t xml:space="preserve">increasing reserve prices </w:t>
            </w:r>
            <w:r w:rsidR="00077B1F">
              <w:rPr>
                <w:rStyle w:val="grey1"/>
                <w:rFonts w:ascii="Calibri" w:eastAsia="Times New Roman" w:hAnsi="Calibri" w:cs="Calibri"/>
                <w:color w:val="000000"/>
                <w:sz w:val="22"/>
                <w:szCs w:val="22"/>
                <w:lang w:val="en-GB"/>
              </w:rPr>
              <w:t>for the summer</w:t>
            </w:r>
            <w:r>
              <w:rPr>
                <w:rStyle w:val="grey1"/>
                <w:rFonts w:ascii="Calibri" w:eastAsia="Times New Roman" w:hAnsi="Calibri" w:cs="Calibri"/>
                <w:color w:val="000000"/>
                <w:sz w:val="22"/>
                <w:szCs w:val="22"/>
                <w:lang w:val="en-GB"/>
              </w:rPr>
              <w:t xml:space="preserve"> quarters. It would definitely not be in the interest of the general gas market to artificial</w:t>
            </w:r>
            <w:r w:rsidR="00FF159A">
              <w:rPr>
                <w:rStyle w:val="grey1"/>
                <w:rFonts w:ascii="Calibri" w:eastAsia="Times New Roman" w:hAnsi="Calibri" w:cs="Calibri"/>
                <w:color w:val="000000"/>
                <w:sz w:val="22"/>
                <w:szCs w:val="22"/>
                <w:lang w:val="en-GB"/>
              </w:rPr>
              <w:t xml:space="preserve">ly raise the cost-level for gas – neither is it acceptable </w:t>
            </w:r>
            <w:r w:rsidR="00413BB1">
              <w:rPr>
                <w:rStyle w:val="grey1"/>
                <w:rFonts w:ascii="Calibri" w:eastAsia="Times New Roman" w:hAnsi="Calibri" w:cs="Calibri"/>
                <w:color w:val="000000"/>
                <w:sz w:val="22"/>
                <w:szCs w:val="22"/>
                <w:lang w:val="en-GB"/>
              </w:rPr>
              <w:t>if the shippers as a consequence shall have to cope with greatly fluctuating tariffs on one side and re-allocation of under/over recovery on the other side. This will lead to very unpredictable tariffs and undermine the business calculation of shippers.</w:t>
            </w:r>
          </w:p>
          <w:p w:rsidR="00144664" w:rsidRPr="00542F09" w:rsidRDefault="00077B1F" w:rsidP="00895126">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w:t>
            </w:r>
            <w:r w:rsidR="00B93E5B">
              <w:rPr>
                <w:rStyle w:val="grey1"/>
                <w:rFonts w:ascii="Calibri" w:eastAsia="Times New Roman" w:hAnsi="Calibri" w:cs="Calibri"/>
                <w:color w:val="000000"/>
                <w:sz w:val="22"/>
                <w:szCs w:val="22"/>
                <w:lang w:val="en-GB"/>
              </w:rPr>
              <w:t>e think that</w:t>
            </w:r>
            <w:r w:rsidR="00413BB1">
              <w:rPr>
                <w:rStyle w:val="grey1"/>
                <w:rFonts w:ascii="Calibri" w:eastAsia="Times New Roman" w:hAnsi="Calibri" w:cs="Calibri"/>
                <w:color w:val="000000"/>
                <w:sz w:val="22"/>
                <w:szCs w:val="22"/>
                <w:lang w:val="en-GB"/>
              </w:rPr>
              <w:t xml:space="preserve"> ENTSOG should adopt the new German regulation (</w:t>
            </w:r>
            <w:proofErr w:type="spellStart"/>
            <w:r w:rsidR="00413BB1">
              <w:rPr>
                <w:rStyle w:val="grey1"/>
                <w:rFonts w:ascii="Calibri" w:eastAsia="Times New Roman" w:hAnsi="Calibri" w:cs="Calibri"/>
                <w:color w:val="000000"/>
                <w:sz w:val="22"/>
                <w:szCs w:val="22"/>
                <w:lang w:val="en-GB"/>
              </w:rPr>
              <w:t>Gasnetzzugangsverordnung</w:t>
            </w:r>
            <w:proofErr w:type="spellEnd"/>
            <w:r w:rsidR="00413BB1">
              <w:rPr>
                <w:rStyle w:val="grey1"/>
                <w:rFonts w:ascii="Calibri" w:eastAsia="Times New Roman" w:hAnsi="Calibri" w:cs="Calibri"/>
                <w:color w:val="000000"/>
                <w:sz w:val="22"/>
                <w:szCs w:val="22"/>
                <w:lang w:val="en-GB"/>
              </w:rPr>
              <w:t>) whereby TSO shall over annual products only for year +3 to +15; quarterly products only for year +1 and +2</w:t>
            </w:r>
            <w:proofErr w:type="gramStart"/>
            <w:r w:rsidR="00413BB1">
              <w:rPr>
                <w:rStyle w:val="grey1"/>
                <w:rFonts w:ascii="Calibri" w:eastAsia="Times New Roman" w:hAnsi="Calibri" w:cs="Calibri"/>
                <w:color w:val="000000"/>
                <w:sz w:val="22"/>
                <w:szCs w:val="22"/>
                <w:lang w:val="en-GB"/>
              </w:rPr>
              <w:t>;  and</w:t>
            </w:r>
            <w:proofErr w:type="gramEnd"/>
            <w:r w:rsidR="00413BB1">
              <w:rPr>
                <w:rStyle w:val="grey1"/>
                <w:rFonts w:ascii="Calibri" w:eastAsia="Times New Roman" w:hAnsi="Calibri" w:cs="Calibri"/>
                <w:color w:val="000000"/>
                <w:sz w:val="22"/>
                <w:szCs w:val="22"/>
                <w:lang w:val="en-GB"/>
              </w:rPr>
              <w:t xml:space="preserve"> quarterly, monthly and d-head products for current year.</w:t>
            </w:r>
            <w:r w:rsidR="00B93E5B">
              <w:rPr>
                <w:rStyle w:val="grey1"/>
                <w:rFonts w:ascii="Calibri" w:eastAsia="Times New Roman" w:hAnsi="Calibri" w:cs="Calibri"/>
                <w:color w:val="000000"/>
                <w:sz w:val="22"/>
                <w:szCs w:val="22"/>
                <w:lang w:val="en-GB"/>
              </w:rPr>
              <w:t xml:space="preserve"> </w:t>
            </w:r>
          </w:p>
        </w:tc>
      </w:tr>
    </w:tbl>
    <w:p w:rsidR="00144664" w:rsidRPr="00651073" w:rsidRDefault="00144664" w:rsidP="00144664">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075022">
              <w:rPr>
                <w:rFonts w:cs="Calibri"/>
                <w:b/>
              </w:rPr>
              <w:t>Question 6</w:t>
            </w:r>
            <w:r>
              <w:rPr>
                <w:rFonts w:cs="Calibri"/>
                <w:b/>
              </w:rPr>
              <w:t xml:space="preserve">: </w:t>
            </w:r>
            <w:r w:rsidRPr="00075022">
              <w:rPr>
                <w:rFonts w:cs="Calibri"/>
              </w:rPr>
              <w:t xml:space="preserve">Do you consider that the auction design set out in the draft NC includes sufficient measures to allow system users to purchase the long-term capacity they want? If not, how could the measures </w:t>
            </w:r>
            <w:proofErr w:type="gramStart"/>
            <w:r w:rsidRPr="00075022">
              <w:rPr>
                <w:rFonts w:cs="Calibri"/>
              </w:rPr>
              <w:t>be</w:t>
            </w:r>
            <w:proofErr w:type="gramEnd"/>
            <w:r w:rsidRPr="00075022">
              <w:rPr>
                <w:rFonts w:cs="Calibri"/>
              </w:rPr>
              <w:t xml:space="preserve"> improved, while remaining consistent with the FG and keeping the complexity of the auction design to a manageable level?</w:t>
            </w:r>
          </w:p>
        </w:tc>
      </w:tr>
      <w:tr w:rsidR="00144664" w:rsidRPr="00075022" w:rsidTr="00AC4840">
        <w:tc>
          <w:tcPr>
            <w:tcW w:w="9242" w:type="dxa"/>
            <w:shd w:val="clear" w:color="auto" w:fill="auto"/>
          </w:tcPr>
          <w:p w:rsidR="00501F1C"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Response: </w:t>
            </w:r>
          </w:p>
          <w:p w:rsidR="00144664" w:rsidRPr="00542F09" w:rsidRDefault="00501F1C"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It i</w:t>
            </w:r>
            <w:r w:rsidR="00F23184">
              <w:rPr>
                <w:rStyle w:val="grey1"/>
                <w:rFonts w:ascii="Calibri" w:eastAsia="Times New Roman" w:hAnsi="Calibri" w:cs="Calibri"/>
                <w:color w:val="000000"/>
                <w:sz w:val="22"/>
                <w:szCs w:val="22"/>
                <w:lang w:val="en-GB"/>
              </w:rPr>
              <w:t xml:space="preserve">s DONG Energy’s assessment that capacity booking opportunities for </w:t>
            </w:r>
            <w:r w:rsidR="00144664">
              <w:rPr>
                <w:rStyle w:val="grey1"/>
                <w:rFonts w:ascii="Calibri" w:eastAsia="Times New Roman" w:hAnsi="Calibri" w:cs="Calibri"/>
                <w:color w:val="000000"/>
                <w:sz w:val="22"/>
                <w:szCs w:val="22"/>
                <w:lang w:val="en-GB"/>
              </w:rPr>
              <w:t xml:space="preserve">15 consecutive years </w:t>
            </w:r>
            <w:r>
              <w:rPr>
                <w:rStyle w:val="grey1"/>
                <w:rFonts w:ascii="Calibri" w:eastAsia="Times New Roman" w:hAnsi="Calibri" w:cs="Calibri"/>
                <w:color w:val="000000"/>
                <w:sz w:val="22"/>
                <w:szCs w:val="22"/>
                <w:lang w:val="en-GB"/>
              </w:rPr>
              <w:t>should suffice</w:t>
            </w:r>
            <w:r w:rsidR="00144664">
              <w:rPr>
                <w:rStyle w:val="grey1"/>
                <w:rFonts w:ascii="Calibri" w:eastAsia="Times New Roman" w:hAnsi="Calibri" w:cs="Calibri"/>
                <w:color w:val="000000"/>
                <w:sz w:val="22"/>
                <w:szCs w:val="22"/>
                <w:lang w:val="en-GB"/>
              </w:rPr>
              <w:t xml:space="preserve"> to cover </w:t>
            </w:r>
            <w:r>
              <w:rPr>
                <w:rStyle w:val="grey1"/>
                <w:rFonts w:ascii="Calibri" w:eastAsia="Times New Roman" w:hAnsi="Calibri" w:cs="Calibri"/>
                <w:color w:val="000000"/>
                <w:sz w:val="22"/>
                <w:szCs w:val="22"/>
                <w:lang w:val="en-GB"/>
              </w:rPr>
              <w:t xml:space="preserve">the </w:t>
            </w:r>
            <w:r w:rsidR="00144664">
              <w:rPr>
                <w:rStyle w:val="grey1"/>
                <w:rFonts w:ascii="Calibri" w:eastAsia="Times New Roman" w:hAnsi="Calibri" w:cs="Calibri"/>
                <w:color w:val="000000"/>
                <w:sz w:val="22"/>
                <w:szCs w:val="22"/>
                <w:lang w:val="en-GB"/>
              </w:rPr>
              <w:t xml:space="preserve">long-term </w:t>
            </w:r>
            <w:r w:rsidR="00D20D21">
              <w:rPr>
                <w:rStyle w:val="grey1"/>
                <w:rFonts w:ascii="Calibri" w:eastAsia="Times New Roman" w:hAnsi="Calibri" w:cs="Calibri"/>
                <w:color w:val="000000"/>
                <w:sz w:val="22"/>
                <w:szCs w:val="22"/>
                <w:lang w:val="en-GB"/>
              </w:rPr>
              <w:t xml:space="preserve">general </w:t>
            </w:r>
            <w:r w:rsidR="00144664">
              <w:rPr>
                <w:rStyle w:val="grey1"/>
                <w:rFonts w:ascii="Calibri" w:eastAsia="Times New Roman" w:hAnsi="Calibri" w:cs="Calibri"/>
                <w:color w:val="000000"/>
                <w:sz w:val="22"/>
                <w:szCs w:val="22"/>
                <w:lang w:val="en-GB"/>
              </w:rPr>
              <w:t>interests</w:t>
            </w:r>
            <w:r>
              <w:rPr>
                <w:rStyle w:val="grey1"/>
                <w:rFonts w:ascii="Calibri" w:eastAsia="Times New Roman" w:hAnsi="Calibri" w:cs="Calibri"/>
                <w:color w:val="000000"/>
                <w:sz w:val="22"/>
                <w:szCs w:val="22"/>
                <w:lang w:val="en-GB"/>
              </w:rPr>
              <w:t xml:space="preserve"> of the shippers</w:t>
            </w:r>
            <w:r w:rsidR="00144664">
              <w:rPr>
                <w:rStyle w:val="grey1"/>
                <w:rFonts w:ascii="Calibri" w:eastAsia="Times New Roman" w:hAnsi="Calibri" w:cs="Calibri"/>
                <w:color w:val="000000"/>
                <w:sz w:val="22"/>
                <w:szCs w:val="22"/>
                <w:lang w:val="en-GB"/>
              </w:rPr>
              <w:t>.</w:t>
            </w:r>
          </w:p>
          <w:p w:rsidR="00144664" w:rsidRPr="00542F09" w:rsidRDefault="00144664" w:rsidP="00AC4840">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0D3F94">
              <w:rPr>
                <w:rFonts w:cs="Calibri"/>
                <w:b/>
              </w:rPr>
              <w:t>Question 7</w:t>
            </w:r>
            <w:r>
              <w:rPr>
                <w:rFonts w:cs="Calibri"/>
                <w:b/>
              </w:rPr>
              <w:t xml:space="preserve">: </w:t>
            </w:r>
            <w:r w:rsidRPr="000D3F94">
              <w:rPr>
                <w:rFonts w:cs="Calibri"/>
              </w:rPr>
              <w:t xml:space="preserve">Do you consider that the within-day auction proposal set out in the draft NC could be improved from a user perspective? If so, what improvements would you suggest? </w:t>
            </w:r>
          </w:p>
        </w:tc>
      </w:tr>
      <w:tr w:rsidR="00144664" w:rsidRPr="00075022" w:rsidTr="00AC4840">
        <w:tc>
          <w:tcPr>
            <w:tcW w:w="9242" w:type="dxa"/>
            <w:shd w:val="clear" w:color="auto" w:fill="auto"/>
          </w:tcPr>
          <w:p w:rsidR="00F23184" w:rsidRDefault="00144664" w:rsidP="00AC4840">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r>
              <w:rPr>
                <w:rStyle w:val="grey1"/>
                <w:rFonts w:ascii="Calibri" w:eastAsia="Times New Roman" w:hAnsi="Calibri" w:cs="Calibri"/>
                <w:color w:val="000000"/>
                <w:sz w:val="22"/>
                <w:szCs w:val="22"/>
                <w:lang w:val="en-GB"/>
              </w:rPr>
              <w:t xml:space="preserve"> </w:t>
            </w:r>
          </w:p>
          <w:p w:rsidR="007276B1" w:rsidRDefault="007276B1"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FCFS is our preferred allocation method for within day capacity products. Appropriate timestamps will secure efficient day-to-day operation as well as non-discrimination of market players. </w:t>
            </w:r>
          </w:p>
          <w:p w:rsidR="007E340C" w:rsidRDefault="007E340C" w:rsidP="00AC4840">
            <w:pPr>
              <w:pStyle w:val="Txt"/>
              <w:spacing w:line="276" w:lineRule="auto"/>
              <w:ind w:right="0"/>
              <w:rPr>
                <w:rStyle w:val="grey1"/>
                <w:rFonts w:ascii="Calibri" w:eastAsia="Times New Roman" w:hAnsi="Calibri" w:cs="Calibri"/>
                <w:color w:val="000000"/>
                <w:sz w:val="22"/>
                <w:szCs w:val="22"/>
                <w:lang w:val="en-GB"/>
              </w:rPr>
            </w:pPr>
          </w:p>
          <w:p w:rsidR="007276B1" w:rsidRDefault="007276B1"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If the majority of market players prefer auctions also for this type of products, then DONG </w:t>
            </w:r>
            <w:proofErr w:type="gramStart"/>
            <w:r>
              <w:rPr>
                <w:rStyle w:val="grey1"/>
                <w:rFonts w:ascii="Calibri" w:eastAsia="Times New Roman" w:hAnsi="Calibri" w:cs="Calibri"/>
                <w:color w:val="000000"/>
                <w:sz w:val="22"/>
                <w:szCs w:val="22"/>
                <w:lang w:val="en-GB"/>
              </w:rPr>
              <w:t xml:space="preserve">Energy  </w:t>
            </w:r>
            <w:r w:rsidR="00413BB1">
              <w:rPr>
                <w:rStyle w:val="grey1"/>
                <w:rFonts w:ascii="Calibri" w:eastAsia="Times New Roman" w:hAnsi="Calibri" w:cs="Calibri"/>
                <w:color w:val="000000"/>
                <w:sz w:val="22"/>
                <w:szCs w:val="22"/>
                <w:lang w:val="en-GB"/>
              </w:rPr>
              <w:t>shall</w:t>
            </w:r>
            <w:proofErr w:type="gramEnd"/>
            <w:r w:rsidR="00413BB1">
              <w:rPr>
                <w:rStyle w:val="grey1"/>
                <w:rFonts w:ascii="Calibri" w:eastAsia="Times New Roman" w:hAnsi="Calibri" w:cs="Calibri"/>
                <w:color w:val="000000"/>
                <w:sz w:val="22"/>
                <w:szCs w:val="22"/>
                <w:lang w:val="en-GB"/>
              </w:rPr>
              <w:t xml:space="preserve"> </w:t>
            </w:r>
            <w:r>
              <w:rPr>
                <w:rStyle w:val="grey1"/>
                <w:rFonts w:ascii="Calibri" w:eastAsia="Times New Roman" w:hAnsi="Calibri" w:cs="Calibri"/>
                <w:color w:val="000000"/>
                <w:sz w:val="22"/>
                <w:szCs w:val="22"/>
                <w:lang w:val="en-GB"/>
              </w:rPr>
              <w:t xml:space="preserve">recommend two daily intraday auctions. An early morning auction and a late afternoon auction at around 16:00. This </w:t>
            </w:r>
            <w:r w:rsidR="007E340C">
              <w:rPr>
                <w:rStyle w:val="grey1"/>
                <w:rFonts w:ascii="Calibri" w:eastAsia="Times New Roman" w:hAnsi="Calibri" w:cs="Calibri"/>
                <w:color w:val="000000"/>
                <w:sz w:val="22"/>
                <w:szCs w:val="22"/>
                <w:lang w:val="en-GB"/>
              </w:rPr>
              <w:t>sh</w:t>
            </w:r>
            <w:r>
              <w:rPr>
                <w:rStyle w:val="grey1"/>
                <w:rFonts w:ascii="Calibri" w:eastAsia="Times New Roman" w:hAnsi="Calibri" w:cs="Calibri"/>
                <w:color w:val="000000"/>
                <w:sz w:val="22"/>
                <w:szCs w:val="22"/>
                <w:lang w:val="en-GB"/>
              </w:rPr>
              <w:t>ould also allow shippers to cover their increasing capacity needs for balancing purpose.</w:t>
            </w:r>
          </w:p>
          <w:p w:rsidR="00144664" w:rsidRPr="00542F09" w:rsidRDefault="00144664" w:rsidP="007276B1">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4A07B8">
              <w:rPr>
                <w:rFonts w:cs="Calibri"/>
                <w:b/>
              </w:rPr>
              <w:t>Question 8</w:t>
            </w:r>
            <w:r>
              <w:rPr>
                <w:rFonts w:cs="Calibri"/>
                <w:b/>
              </w:rPr>
              <w:t xml:space="preserve">: </w:t>
            </w:r>
            <w:r w:rsidRPr="004A07B8">
              <w:rPr>
                <w:rFonts w:cs="Calibri"/>
              </w:rPr>
              <w:t xml:space="preserve">The draft NC proposes that TSOs will implement all auction systems at all Interconnection Points (IPs). However, if no purchases of capacity are made in within-day or day </w:t>
            </w:r>
            <w:proofErr w:type="gramStart"/>
            <w:r w:rsidRPr="004A07B8">
              <w:rPr>
                <w:rFonts w:cs="Calibri"/>
              </w:rPr>
              <w:t>ahead</w:t>
            </w:r>
            <w:proofErr w:type="gramEnd"/>
            <w:r w:rsidRPr="004A07B8">
              <w:rPr>
                <w:rFonts w:cs="Calibri"/>
              </w:rPr>
              <w:t xml:space="preserve"> auctions at a particular IP over a certain period of time, do you consider that it would be appropriate to suspend these auctions for some time, in order to reduce operational costs?</w:t>
            </w:r>
            <w:r w:rsidRPr="004A07B8" w:rsidDel="005C3CEC">
              <w:rPr>
                <w:rFonts w:cs="Calibri"/>
              </w:rPr>
              <w:t xml:space="preserve"> </w:t>
            </w:r>
          </w:p>
        </w:tc>
      </w:tr>
      <w:tr w:rsidR="00144664" w:rsidRPr="00075022" w:rsidTr="00AC4840">
        <w:tc>
          <w:tcPr>
            <w:tcW w:w="9242" w:type="dxa"/>
            <w:shd w:val="clear" w:color="auto" w:fill="auto"/>
          </w:tcPr>
          <w:p w:rsidR="00C033B5" w:rsidRDefault="00144664" w:rsidP="00AC4840">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144664" w:rsidRPr="00542F09" w:rsidRDefault="00C033B5" w:rsidP="00413BB1">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We think that it should always be possible for stakeholders to voluntarily supply capacity to the auction platform. </w:t>
            </w:r>
            <w:r w:rsidR="00077B1F">
              <w:rPr>
                <w:rStyle w:val="grey1"/>
                <w:rFonts w:ascii="Calibri" w:eastAsia="Times New Roman" w:hAnsi="Calibri" w:cs="Calibri"/>
                <w:color w:val="000000"/>
                <w:sz w:val="22"/>
                <w:szCs w:val="22"/>
                <w:lang w:val="en-GB"/>
              </w:rPr>
              <w:t>T</w:t>
            </w:r>
            <w:r>
              <w:rPr>
                <w:rStyle w:val="grey1"/>
                <w:rFonts w:ascii="Calibri" w:eastAsia="Times New Roman" w:hAnsi="Calibri" w:cs="Calibri"/>
                <w:color w:val="000000"/>
                <w:sz w:val="22"/>
                <w:szCs w:val="22"/>
                <w:lang w:val="en-GB"/>
              </w:rPr>
              <w:t xml:space="preserve">he platform </w:t>
            </w:r>
            <w:r w:rsidR="00077B1F">
              <w:rPr>
                <w:rStyle w:val="grey1"/>
                <w:rFonts w:ascii="Calibri" w:eastAsia="Times New Roman" w:hAnsi="Calibri" w:cs="Calibri"/>
                <w:color w:val="000000"/>
                <w:sz w:val="22"/>
                <w:szCs w:val="22"/>
                <w:lang w:val="en-GB"/>
              </w:rPr>
              <w:t>must</w:t>
            </w:r>
            <w:r>
              <w:rPr>
                <w:rStyle w:val="grey1"/>
                <w:rFonts w:ascii="Calibri" w:eastAsia="Times New Roman" w:hAnsi="Calibri" w:cs="Calibri"/>
                <w:color w:val="000000"/>
                <w:sz w:val="22"/>
                <w:szCs w:val="22"/>
                <w:lang w:val="en-GB"/>
              </w:rPr>
              <w:t xml:space="preserve"> do its utmost to actively ma</w:t>
            </w:r>
            <w:r w:rsidR="00D84204">
              <w:rPr>
                <w:rStyle w:val="grey1"/>
                <w:rFonts w:ascii="Calibri" w:eastAsia="Times New Roman" w:hAnsi="Calibri" w:cs="Calibri"/>
                <w:color w:val="000000"/>
                <w:sz w:val="22"/>
                <w:szCs w:val="22"/>
                <w:lang w:val="en-GB"/>
              </w:rPr>
              <w:t xml:space="preserve">rket such capacities. There should be a method whereby the platform provider quickly can assess whether demand is available. Such a method would be available if a multi-round auction model was adopted. If there is no demand at the start of a particular auction then the auction should automatically be called off. However, lack of demand during one particular day </w:t>
            </w:r>
            <w:r w:rsidR="0029070C">
              <w:rPr>
                <w:rStyle w:val="grey1"/>
                <w:rFonts w:ascii="Calibri" w:eastAsia="Times New Roman" w:hAnsi="Calibri" w:cs="Calibri"/>
                <w:color w:val="000000"/>
                <w:sz w:val="22"/>
                <w:szCs w:val="22"/>
                <w:lang w:val="en-GB"/>
              </w:rPr>
              <w:t>might</w:t>
            </w:r>
            <w:r w:rsidR="00D84204">
              <w:rPr>
                <w:rStyle w:val="grey1"/>
                <w:rFonts w:ascii="Calibri" w:eastAsia="Times New Roman" w:hAnsi="Calibri" w:cs="Calibri"/>
                <w:color w:val="000000"/>
                <w:sz w:val="22"/>
                <w:szCs w:val="22"/>
                <w:lang w:val="en-GB"/>
              </w:rPr>
              <w:t xml:space="preserve"> change for the following </w:t>
            </w:r>
            <w:proofErr w:type="gramStart"/>
            <w:r w:rsidR="00D84204">
              <w:rPr>
                <w:rStyle w:val="grey1"/>
                <w:rFonts w:ascii="Calibri" w:eastAsia="Times New Roman" w:hAnsi="Calibri" w:cs="Calibri"/>
                <w:color w:val="000000"/>
                <w:sz w:val="22"/>
                <w:szCs w:val="22"/>
                <w:lang w:val="en-GB"/>
              </w:rPr>
              <w:t>day,</w:t>
            </w:r>
            <w:proofErr w:type="gramEnd"/>
            <w:r w:rsidR="00D84204">
              <w:rPr>
                <w:rStyle w:val="grey1"/>
                <w:rFonts w:ascii="Calibri" w:eastAsia="Times New Roman" w:hAnsi="Calibri" w:cs="Calibri"/>
                <w:color w:val="000000"/>
                <w:sz w:val="22"/>
                <w:szCs w:val="22"/>
                <w:lang w:val="en-GB"/>
              </w:rPr>
              <w:t xml:space="preserve"> therefore all scheduled auctions must be initiated.</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4A07B8">
              <w:rPr>
                <w:rFonts w:cs="Calibri"/>
                <w:b/>
              </w:rPr>
              <w:t>Question 9</w:t>
            </w:r>
            <w:r>
              <w:rPr>
                <w:rFonts w:cs="Calibri"/>
                <w:b/>
              </w:rPr>
              <w:t xml:space="preserve">: </w:t>
            </w:r>
            <w:r w:rsidRPr="004A07B8">
              <w:rPr>
                <w:rFonts w:cs="Calibri"/>
              </w:rPr>
              <w:t xml:space="preserve">Do you consider that the auction algorithms set out in the draft NC are appropriate for the Standard Capacity Products to which they are proposed to apply? If not, what modifications would you suggest? </w:t>
            </w:r>
          </w:p>
        </w:tc>
      </w:tr>
      <w:tr w:rsidR="00144664" w:rsidRPr="00075022" w:rsidTr="00AC4840">
        <w:tc>
          <w:tcPr>
            <w:tcW w:w="9242" w:type="dxa"/>
            <w:shd w:val="clear" w:color="auto" w:fill="auto"/>
          </w:tcPr>
          <w:p w:rsidR="00E05C3C" w:rsidRDefault="00144664" w:rsidP="00AC4840">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r>
              <w:rPr>
                <w:rStyle w:val="grey1"/>
                <w:rFonts w:ascii="Calibri" w:eastAsia="Times New Roman" w:hAnsi="Calibri" w:cs="Calibri"/>
                <w:color w:val="000000"/>
                <w:sz w:val="22"/>
                <w:szCs w:val="22"/>
                <w:lang w:val="en-GB"/>
              </w:rPr>
              <w:t xml:space="preserve"> </w:t>
            </w:r>
          </w:p>
          <w:p w:rsidR="0046612E" w:rsidRDefault="0046612E"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Generally we strongly prefer </w:t>
            </w:r>
            <w:r w:rsidR="00895126">
              <w:rPr>
                <w:rStyle w:val="grey1"/>
                <w:rFonts w:ascii="Calibri" w:eastAsia="Times New Roman" w:hAnsi="Calibri" w:cs="Calibri"/>
                <w:color w:val="000000"/>
                <w:sz w:val="22"/>
                <w:szCs w:val="22"/>
                <w:lang w:val="en-GB"/>
              </w:rPr>
              <w:t>m</w:t>
            </w:r>
            <w:r>
              <w:rPr>
                <w:rStyle w:val="grey1"/>
                <w:rFonts w:ascii="Calibri" w:eastAsia="Times New Roman" w:hAnsi="Calibri" w:cs="Calibri"/>
                <w:color w:val="000000"/>
                <w:sz w:val="22"/>
                <w:szCs w:val="22"/>
                <w:lang w:val="en-GB"/>
              </w:rPr>
              <w:t xml:space="preserve">ulti-round ascending clock auctions over single round auctions. The multi-round model will secure that there will be no pro-rating of capacity and bidders will know their positions at all times during the auction process. </w:t>
            </w:r>
          </w:p>
          <w:p w:rsidR="0046612E" w:rsidRDefault="0046612E"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We do not think that the suggested single-round model </w:t>
            </w:r>
            <w:r w:rsidR="00077B1F">
              <w:rPr>
                <w:rStyle w:val="grey1"/>
                <w:rFonts w:ascii="Calibri" w:eastAsia="Times New Roman" w:hAnsi="Calibri" w:cs="Calibri"/>
                <w:color w:val="000000"/>
                <w:sz w:val="22"/>
                <w:szCs w:val="22"/>
                <w:lang w:val="en-GB"/>
              </w:rPr>
              <w:t>(</w:t>
            </w:r>
            <w:r>
              <w:rPr>
                <w:rStyle w:val="grey1"/>
                <w:rFonts w:ascii="Calibri" w:eastAsia="Times New Roman" w:hAnsi="Calibri" w:cs="Calibri"/>
                <w:color w:val="000000"/>
                <w:sz w:val="22"/>
                <w:szCs w:val="22"/>
                <w:lang w:val="en-GB"/>
              </w:rPr>
              <w:t>inclu</w:t>
            </w:r>
            <w:r w:rsidR="00546009">
              <w:rPr>
                <w:rStyle w:val="grey1"/>
                <w:rFonts w:ascii="Calibri" w:eastAsia="Times New Roman" w:hAnsi="Calibri" w:cs="Calibri"/>
                <w:color w:val="000000"/>
                <w:sz w:val="22"/>
                <w:szCs w:val="22"/>
                <w:lang w:val="en-GB"/>
              </w:rPr>
              <w:t>ding the algorithms</w:t>
            </w:r>
            <w:r w:rsidR="00077B1F">
              <w:rPr>
                <w:rStyle w:val="grey1"/>
                <w:rFonts w:ascii="Calibri" w:eastAsia="Times New Roman" w:hAnsi="Calibri" w:cs="Calibri"/>
                <w:color w:val="000000"/>
                <w:sz w:val="22"/>
                <w:szCs w:val="22"/>
                <w:lang w:val="en-GB"/>
              </w:rPr>
              <w:t>)</w:t>
            </w:r>
            <w:r w:rsidR="00546009">
              <w:rPr>
                <w:rStyle w:val="grey1"/>
                <w:rFonts w:ascii="Calibri" w:eastAsia="Times New Roman" w:hAnsi="Calibri" w:cs="Calibri"/>
                <w:color w:val="000000"/>
                <w:sz w:val="22"/>
                <w:szCs w:val="22"/>
                <w:lang w:val="en-GB"/>
              </w:rPr>
              <w:t xml:space="preserve"> </w:t>
            </w:r>
            <w:r w:rsidR="00077B1F">
              <w:rPr>
                <w:rStyle w:val="grey1"/>
                <w:rFonts w:ascii="Calibri" w:eastAsia="Times New Roman" w:hAnsi="Calibri" w:cs="Calibri"/>
                <w:color w:val="000000"/>
                <w:sz w:val="22"/>
                <w:szCs w:val="22"/>
                <w:lang w:val="en-GB"/>
              </w:rPr>
              <w:t xml:space="preserve">is </w:t>
            </w:r>
            <w:r w:rsidR="00546009">
              <w:rPr>
                <w:rStyle w:val="grey1"/>
                <w:rFonts w:ascii="Calibri" w:eastAsia="Times New Roman" w:hAnsi="Calibri" w:cs="Calibri"/>
                <w:color w:val="000000"/>
                <w:sz w:val="22"/>
                <w:szCs w:val="22"/>
                <w:lang w:val="en-GB"/>
              </w:rPr>
              <w:t xml:space="preserve">user friendly – it leaves bidders very much in the dark since it is not possible to get information on the development of demand throughout the bidding window. A 10 day bidding window </w:t>
            </w:r>
            <w:r w:rsidR="007276B1">
              <w:rPr>
                <w:rStyle w:val="grey1"/>
                <w:rFonts w:ascii="Calibri" w:eastAsia="Times New Roman" w:hAnsi="Calibri" w:cs="Calibri"/>
                <w:color w:val="000000"/>
                <w:sz w:val="22"/>
                <w:szCs w:val="22"/>
                <w:lang w:val="en-GB"/>
              </w:rPr>
              <w:t>may</w:t>
            </w:r>
            <w:r w:rsidR="00F86EC9">
              <w:rPr>
                <w:rStyle w:val="grey1"/>
                <w:rFonts w:ascii="Calibri" w:eastAsia="Times New Roman" w:hAnsi="Calibri" w:cs="Calibri"/>
                <w:color w:val="000000"/>
                <w:sz w:val="22"/>
                <w:szCs w:val="22"/>
                <w:lang w:val="en-GB"/>
              </w:rPr>
              <w:t xml:space="preserve"> often not be needed, then the full auction capacity may be in demand at the clearing price on the first day.</w:t>
            </w:r>
          </w:p>
          <w:p w:rsidR="000E378B" w:rsidRDefault="000E378B"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With reference to our response to question No. 5, DONG Energy would prefer annual products for year 3-15 instead of quarterly products.</w:t>
            </w:r>
          </w:p>
          <w:p w:rsidR="00E05C3C" w:rsidRDefault="00F86EC9"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The auction algorithms </w:t>
            </w:r>
            <w:r w:rsidR="00D1460D">
              <w:rPr>
                <w:rStyle w:val="grey1"/>
                <w:rFonts w:ascii="Calibri" w:eastAsia="Times New Roman" w:hAnsi="Calibri" w:cs="Calibri"/>
                <w:color w:val="000000"/>
                <w:sz w:val="22"/>
                <w:szCs w:val="22"/>
                <w:lang w:val="en-GB"/>
              </w:rPr>
              <w:t>must</w:t>
            </w:r>
            <w:r>
              <w:rPr>
                <w:rStyle w:val="grey1"/>
                <w:rFonts w:ascii="Calibri" w:eastAsia="Times New Roman" w:hAnsi="Calibri" w:cs="Calibri"/>
                <w:color w:val="000000"/>
                <w:sz w:val="22"/>
                <w:szCs w:val="22"/>
                <w:lang w:val="en-GB"/>
              </w:rPr>
              <w:t xml:space="preserve"> include an incentive program for TSO’s and a clear and ha</w:t>
            </w:r>
            <w:r w:rsidR="00D1460D">
              <w:rPr>
                <w:rStyle w:val="grey1"/>
                <w:rFonts w:ascii="Calibri" w:eastAsia="Times New Roman" w:hAnsi="Calibri" w:cs="Calibri"/>
                <w:color w:val="000000"/>
                <w:sz w:val="22"/>
                <w:szCs w:val="22"/>
                <w:lang w:val="en-GB"/>
              </w:rPr>
              <w:t>rmonized</w:t>
            </w:r>
            <w:r>
              <w:rPr>
                <w:rStyle w:val="grey1"/>
                <w:rFonts w:ascii="Calibri" w:eastAsia="Times New Roman" w:hAnsi="Calibri" w:cs="Calibri"/>
                <w:color w:val="000000"/>
                <w:sz w:val="22"/>
                <w:szCs w:val="22"/>
                <w:lang w:val="en-GB"/>
              </w:rPr>
              <w:t xml:space="preserve"> valuation of the existing pipeline</w:t>
            </w:r>
            <w:r w:rsidR="00D1460D">
              <w:rPr>
                <w:rStyle w:val="grey1"/>
                <w:rFonts w:ascii="Calibri" w:eastAsia="Times New Roman" w:hAnsi="Calibri" w:cs="Calibri"/>
                <w:color w:val="000000"/>
                <w:sz w:val="22"/>
                <w:szCs w:val="22"/>
                <w:lang w:val="en-GB"/>
              </w:rPr>
              <w:t>s</w:t>
            </w:r>
            <w:r>
              <w:rPr>
                <w:rStyle w:val="grey1"/>
                <w:rFonts w:ascii="Calibri" w:eastAsia="Times New Roman" w:hAnsi="Calibri" w:cs="Calibri"/>
                <w:color w:val="000000"/>
                <w:sz w:val="22"/>
                <w:szCs w:val="22"/>
                <w:lang w:val="en-GB"/>
              </w:rPr>
              <w:t>, compressors and other TSO assets</w:t>
            </w:r>
            <w:r w:rsidR="00862DAF">
              <w:rPr>
                <w:rStyle w:val="grey1"/>
                <w:rFonts w:ascii="Calibri" w:eastAsia="Times New Roman" w:hAnsi="Calibri" w:cs="Calibri"/>
                <w:color w:val="000000"/>
                <w:sz w:val="22"/>
                <w:szCs w:val="22"/>
                <w:lang w:val="en-GB"/>
              </w:rPr>
              <w:t xml:space="preserve"> including time and method of depreciation.</w:t>
            </w:r>
            <w:r w:rsidR="007276B1">
              <w:rPr>
                <w:rStyle w:val="grey1"/>
                <w:rFonts w:ascii="Calibri" w:eastAsia="Times New Roman" w:hAnsi="Calibri" w:cs="Calibri"/>
                <w:color w:val="000000"/>
                <w:sz w:val="22"/>
                <w:szCs w:val="22"/>
                <w:lang w:val="en-GB"/>
              </w:rPr>
              <w:t xml:space="preserve"> Also the capacity calculation methods of the TSO’s should be aligned.</w:t>
            </w:r>
          </w:p>
          <w:p w:rsidR="00144664" w:rsidRPr="00542F09" w:rsidRDefault="00144664" w:rsidP="0046612E">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4A07B8">
              <w:rPr>
                <w:rFonts w:cs="Calibri"/>
                <w:b/>
              </w:rPr>
              <w:t>Question 10</w:t>
            </w:r>
            <w:r>
              <w:rPr>
                <w:rFonts w:cs="Calibri"/>
                <w:b/>
              </w:rPr>
              <w:t xml:space="preserve">: </w:t>
            </w:r>
            <w:r w:rsidRPr="004A07B8">
              <w:rPr>
                <w:rFonts w:cs="Calibri"/>
              </w:rPr>
              <w:t>Do you believe that any of the potential alternatives described would be more suitable? In particular, do you consider that a Pay-As-Bid methodology would be more appropriate than uniform price, particularly for auctions of shorter duration products?</w:t>
            </w:r>
          </w:p>
        </w:tc>
      </w:tr>
      <w:tr w:rsidR="00144664" w:rsidRPr="00075022" w:rsidTr="00AC4840">
        <w:tc>
          <w:tcPr>
            <w:tcW w:w="9242" w:type="dxa"/>
            <w:shd w:val="clear" w:color="auto" w:fill="auto"/>
          </w:tcPr>
          <w:p w:rsidR="0054663D"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Response: </w:t>
            </w:r>
          </w:p>
          <w:p w:rsidR="00144664" w:rsidRPr="00542F09" w:rsidRDefault="0054663D" w:rsidP="0016724D">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As stated previously DONG Energy is strongly supporting the mu</w:t>
            </w:r>
            <w:r w:rsidR="00E611FC">
              <w:rPr>
                <w:rStyle w:val="grey1"/>
                <w:rFonts w:ascii="Calibri" w:eastAsia="Times New Roman" w:hAnsi="Calibri" w:cs="Calibri"/>
                <w:color w:val="000000"/>
                <w:sz w:val="22"/>
                <w:szCs w:val="22"/>
                <w:lang w:val="en-GB"/>
              </w:rPr>
              <w:t>lti-round ascending clock model as well as FCFS for intraday products.</w:t>
            </w:r>
            <w:r w:rsidR="0016724D">
              <w:rPr>
                <w:rStyle w:val="grey1"/>
                <w:rFonts w:ascii="Calibri" w:eastAsia="Times New Roman" w:hAnsi="Calibri" w:cs="Calibri"/>
                <w:color w:val="000000"/>
                <w:sz w:val="22"/>
                <w:szCs w:val="22"/>
                <w:lang w:val="en-GB"/>
              </w:rPr>
              <w:t xml:space="preserve"> In order to provide for correct, unbiased investment signals, the regulated price used as reserve price should always be zero.</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4A07B8">
              <w:rPr>
                <w:rFonts w:cs="Calibri"/>
                <w:b/>
              </w:rPr>
              <w:t>Question 11</w:t>
            </w:r>
            <w:r>
              <w:rPr>
                <w:rFonts w:cs="Calibri"/>
                <w:b/>
              </w:rPr>
              <w:t xml:space="preserve">: </w:t>
            </w:r>
            <w:r w:rsidRPr="004A07B8">
              <w:rPr>
                <w:rFonts w:cs="Calibri"/>
              </w:rPr>
              <w:t>Under an open-bid algor</w:t>
            </w:r>
            <w:r>
              <w:rPr>
                <w:rFonts w:cs="Calibri"/>
              </w:rPr>
              <w:t>ithm (whether uniform price or pay as b</w:t>
            </w:r>
            <w:r w:rsidRPr="004A07B8">
              <w:rPr>
                <w:rFonts w:cs="Calibri"/>
              </w:rPr>
              <w:t>id), do you consider that ten bids per user is a sufficient number?</w:t>
            </w:r>
          </w:p>
        </w:tc>
      </w:tr>
      <w:tr w:rsidR="00144664" w:rsidRPr="00075022" w:rsidTr="00AC4840">
        <w:tc>
          <w:tcPr>
            <w:tcW w:w="9242" w:type="dxa"/>
            <w:shd w:val="clear" w:color="auto" w:fill="auto"/>
          </w:tcPr>
          <w:p w:rsidR="00144664"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Response: </w:t>
            </w:r>
          </w:p>
          <w:p w:rsidR="00E611FC" w:rsidRPr="00542F09" w:rsidRDefault="007E340C" w:rsidP="007E340C">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10 bids seem sufficient – however, </w:t>
            </w:r>
            <w:r w:rsidR="00E611FC">
              <w:rPr>
                <w:rStyle w:val="grey1"/>
                <w:rFonts w:ascii="Calibri" w:eastAsia="Times New Roman" w:hAnsi="Calibri" w:cs="Calibri"/>
                <w:color w:val="000000"/>
                <w:sz w:val="22"/>
                <w:szCs w:val="22"/>
                <w:lang w:val="en-GB"/>
              </w:rPr>
              <w:t>limitations</w:t>
            </w:r>
            <w:r>
              <w:rPr>
                <w:rStyle w:val="grey1"/>
                <w:rFonts w:ascii="Calibri" w:eastAsia="Times New Roman" w:hAnsi="Calibri" w:cs="Calibri"/>
                <w:color w:val="000000"/>
                <w:sz w:val="22"/>
                <w:szCs w:val="22"/>
                <w:lang w:val="en-GB"/>
              </w:rPr>
              <w:t xml:space="preserve"> may not be needed</w:t>
            </w:r>
            <w:r w:rsidR="00E611FC">
              <w:rPr>
                <w:rStyle w:val="grey1"/>
                <w:rFonts w:ascii="Calibri" w:eastAsia="Times New Roman" w:hAnsi="Calibri" w:cs="Calibri"/>
                <w:color w:val="000000"/>
                <w:sz w:val="22"/>
                <w:szCs w:val="22"/>
                <w:lang w:val="en-GB"/>
              </w:rPr>
              <w:t>.</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1E6C5E">
              <w:rPr>
                <w:rFonts w:cs="Calibri"/>
                <w:b/>
              </w:rPr>
              <w:t>Question 12</w:t>
            </w:r>
            <w:r>
              <w:rPr>
                <w:rFonts w:cs="Calibri"/>
                <w:b/>
              </w:rPr>
              <w:t xml:space="preserve">: </w:t>
            </w:r>
            <w:r w:rsidRPr="001E6C5E">
              <w:rPr>
                <w:rFonts w:cs="Calibri"/>
              </w:rPr>
              <w:t>Do you consider that mechanisms supporting value discovery should form part of the NC? If so, which mechanisms do you believe would be most effective?</w:t>
            </w:r>
          </w:p>
        </w:tc>
      </w:tr>
      <w:tr w:rsidR="00144664" w:rsidRPr="00075022" w:rsidTr="00AC4840">
        <w:tc>
          <w:tcPr>
            <w:tcW w:w="9242" w:type="dxa"/>
            <w:shd w:val="clear" w:color="auto" w:fill="auto"/>
          </w:tcPr>
          <w:p w:rsidR="00E611FC"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Response: </w:t>
            </w:r>
          </w:p>
          <w:p w:rsidR="00E611FC" w:rsidRDefault="00E611FC"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DONG Energy thinks that bidders must participate from the first bidding window and it should not be possible to increase the volume-bid during an auction.</w:t>
            </w:r>
          </w:p>
          <w:p w:rsidR="00144664" w:rsidRPr="00542F09" w:rsidRDefault="00144664" w:rsidP="00E611FC">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sidRPr="00974DDD">
              <w:rPr>
                <w:rFonts w:cs="Calibri"/>
                <w:b/>
              </w:rPr>
              <w:t>Question 13</w:t>
            </w:r>
            <w:r>
              <w:rPr>
                <w:rFonts w:cs="Calibri"/>
                <w:b/>
              </w:rPr>
              <w:t xml:space="preserve">: </w:t>
            </w:r>
            <w:r w:rsidRPr="00974DDD">
              <w:rPr>
                <w:rFonts w:cs="Calibri"/>
              </w:rPr>
              <w:t xml:space="preserve">In your view, how could a split of bundled capacity between existing holders of unbundled capacity best </w:t>
            </w:r>
            <w:proofErr w:type="gramStart"/>
            <w:r w:rsidRPr="00974DDD">
              <w:rPr>
                <w:rFonts w:cs="Calibri"/>
              </w:rPr>
              <w:t>be</w:t>
            </w:r>
            <w:proofErr w:type="gramEnd"/>
            <w:r w:rsidRPr="00974DDD">
              <w:rPr>
                <w:rFonts w:cs="Calibri"/>
              </w:rPr>
              <w:t xml:space="preserve"> arranged? </w:t>
            </w:r>
          </w:p>
        </w:tc>
      </w:tr>
      <w:tr w:rsidR="00144664" w:rsidRPr="00075022" w:rsidTr="00AC4840">
        <w:tc>
          <w:tcPr>
            <w:tcW w:w="9242" w:type="dxa"/>
            <w:shd w:val="clear" w:color="auto" w:fill="auto"/>
          </w:tcPr>
          <w:p w:rsidR="00E611FC"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E611FC" w:rsidRDefault="00E611FC"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DONG Energy is strictly against mandatory bundling of capacity held under current capacity contracts.</w:t>
            </w:r>
            <w:r w:rsidR="00D36015">
              <w:rPr>
                <w:rStyle w:val="grey1"/>
                <w:rFonts w:ascii="Calibri" w:hAnsi="Calibri" w:cs="Calibri"/>
                <w:color w:val="000000"/>
                <w:sz w:val="22"/>
                <w:szCs w:val="22"/>
                <w:lang w:val="en-GB"/>
              </w:rPr>
              <w:t xml:space="preserve"> We reject a sunset clause. Bundling of booked capacity can only happen on a voluntary basis.</w:t>
            </w:r>
            <w:r>
              <w:rPr>
                <w:rStyle w:val="grey1"/>
                <w:rFonts w:ascii="Calibri" w:hAnsi="Calibri" w:cs="Calibri"/>
                <w:color w:val="000000"/>
                <w:sz w:val="22"/>
                <w:szCs w:val="22"/>
                <w:lang w:val="en-GB"/>
              </w:rPr>
              <w:t xml:space="preserve"> In the future TSO’s should offer both bundled and unbundled capacity. It is of utmost importance to maintain cross-border points </w:t>
            </w:r>
            <w:r w:rsidR="00D36015">
              <w:rPr>
                <w:rStyle w:val="grey1"/>
                <w:rFonts w:ascii="Calibri" w:hAnsi="Calibri" w:cs="Calibri"/>
                <w:color w:val="000000"/>
                <w:sz w:val="22"/>
                <w:szCs w:val="22"/>
                <w:lang w:val="en-GB"/>
              </w:rPr>
              <w:t>as possible delivery points.</w:t>
            </w:r>
          </w:p>
          <w:p w:rsidR="00144664" w:rsidRPr="00542F09" w:rsidRDefault="00144664" w:rsidP="00D36015">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D6407C" w:rsidRDefault="00144664" w:rsidP="00AC4840">
            <w:pPr>
              <w:spacing w:before="120" w:after="120"/>
              <w:jc w:val="both"/>
              <w:rPr>
                <w:rStyle w:val="grey1"/>
                <w:rFonts w:cs="Calibri"/>
                <w:color w:val="auto"/>
              </w:rPr>
            </w:pPr>
            <w:r w:rsidRPr="00BD28D2">
              <w:rPr>
                <w:rFonts w:cs="Calibri"/>
                <w:b/>
              </w:rPr>
              <w:t xml:space="preserve">Question </w:t>
            </w:r>
            <w:r>
              <w:rPr>
                <w:rFonts w:cs="Calibri"/>
                <w:b/>
              </w:rPr>
              <w:t xml:space="preserve">14: </w:t>
            </w:r>
            <w:r>
              <w:rPr>
                <w:rFonts w:cs="Calibri"/>
              </w:rPr>
              <w:t xml:space="preserve">In your view, what effect would mandatory bundling have on network users? Please provide supporting evidence, if available. </w:t>
            </w:r>
          </w:p>
        </w:tc>
      </w:tr>
      <w:tr w:rsidR="00144664" w:rsidRPr="00075022" w:rsidTr="00AC4840">
        <w:trPr>
          <w:trHeight w:val="70"/>
        </w:trPr>
        <w:tc>
          <w:tcPr>
            <w:tcW w:w="9242" w:type="dxa"/>
            <w:shd w:val="clear" w:color="auto" w:fill="auto"/>
          </w:tcPr>
          <w:p w:rsidR="00D36015" w:rsidRDefault="00144664" w:rsidP="00AC4840">
            <w:pPr>
              <w:jc w:val="both"/>
              <w:rPr>
                <w:rStyle w:val="grey1"/>
                <w:rFonts w:eastAsia="Times New Roman" w:cs="Calibri"/>
                <w:color w:val="000000"/>
              </w:rPr>
            </w:pPr>
            <w:r>
              <w:rPr>
                <w:rStyle w:val="grey1"/>
                <w:rFonts w:eastAsia="Times New Roman" w:cs="Calibri"/>
                <w:color w:val="000000"/>
              </w:rPr>
              <w:t>Response:</w:t>
            </w:r>
          </w:p>
          <w:p w:rsidR="00D36015" w:rsidRDefault="00D36015" w:rsidP="00AC4840">
            <w:pPr>
              <w:jc w:val="both"/>
              <w:rPr>
                <w:rStyle w:val="grey1"/>
                <w:rFonts w:eastAsia="Times New Roman" w:cs="Calibri"/>
                <w:color w:val="000000"/>
              </w:rPr>
            </w:pPr>
            <w:r>
              <w:rPr>
                <w:rStyle w:val="grey1"/>
                <w:rFonts w:eastAsia="Times New Roman" w:cs="Calibri"/>
                <w:color w:val="000000"/>
              </w:rPr>
              <w:t>Mandatory bundling will increase the transport costs for shippers: If a shipper takes delivery at a cross-border point, then the shipper will only have to pay one entry fee to get into market area A or market area B. If he must choose one hub (hub A) as point of delivery when entering into a long-term contract, then the shippers faces double transport charges if he suddenly needs the gas in market area B (exit area A and entry area B).</w:t>
            </w:r>
          </w:p>
          <w:p w:rsidR="00DA1448" w:rsidRDefault="00DA1448" w:rsidP="00AC4840">
            <w:pPr>
              <w:jc w:val="both"/>
              <w:rPr>
                <w:rStyle w:val="grey1"/>
                <w:rFonts w:eastAsia="Times New Roman" w:cs="Calibri"/>
                <w:color w:val="000000"/>
              </w:rPr>
            </w:pPr>
            <w:r>
              <w:rPr>
                <w:rStyle w:val="grey1"/>
                <w:rFonts w:eastAsia="Times New Roman" w:cs="Calibri"/>
                <w:color w:val="000000"/>
              </w:rPr>
              <w:t xml:space="preserve">Shippers will be forced to deal with contractual transport issues in market areas, where they may have no experience and thus facing new risks and threats. </w:t>
            </w:r>
          </w:p>
          <w:p w:rsidR="00144664" w:rsidRPr="00542F09" w:rsidRDefault="00DA1448" w:rsidP="00DA1448">
            <w:pPr>
              <w:jc w:val="both"/>
              <w:rPr>
                <w:rStyle w:val="grey1"/>
                <w:rFonts w:eastAsia="Times New Roman" w:cs="Calibri"/>
                <w:color w:val="000000"/>
              </w:rPr>
            </w:pPr>
            <w:r>
              <w:rPr>
                <w:rStyle w:val="grey1"/>
                <w:rFonts w:eastAsia="Times New Roman" w:cs="Calibri"/>
                <w:color w:val="000000"/>
              </w:rPr>
              <w:t>Thus, DONG Energy is strictly against mandatory bundling.</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Pr>
                <w:rFonts w:cs="Calibri"/>
                <w:b/>
              </w:rPr>
              <w:t xml:space="preserve">Question 15: </w:t>
            </w:r>
            <w:r w:rsidRPr="00660809">
              <w:rPr>
                <w:rFonts w:cs="Calibri"/>
              </w:rPr>
              <w:t>Do you consider that the approach to bundled capacity set out in the NC is appropriate, within the constraints of the FG?</w:t>
            </w:r>
          </w:p>
        </w:tc>
      </w:tr>
      <w:tr w:rsidR="00144664" w:rsidRPr="00075022" w:rsidTr="00AC4840">
        <w:tc>
          <w:tcPr>
            <w:tcW w:w="9242" w:type="dxa"/>
            <w:shd w:val="clear" w:color="auto" w:fill="auto"/>
          </w:tcPr>
          <w:p w:rsidR="004E1B21"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Response:</w:t>
            </w:r>
          </w:p>
          <w:p w:rsidR="004E1B21" w:rsidRDefault="004E1B21"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No, DONG Energy disagrees.</w:t>
            </w:r>
          </w:p>
          <w:p w:rsidR="00144664" w:rsidRPr="00542F09" w:rsidRDefault="004E1B21"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The FG is still in the hearing process with very strong opposition on especially the draft proposition of bundling of capacity. It must therefore be expected </w:t>
            </w:r>
            <w:r w:rsidR="003167CC">
              <w:rPr>
                <w:rStyle w:val="grey1"/>
                <w:rFonts w:ascii="Calibri" w:hAnsi="Calibri" w:cs="Calibri"/>
                <w:color w:val="000000"/>
                <w:sz w:val="22"/>
                <w:szCs w:val="22"/>
                <w:lang w:val="en-GB"/>
              </w:rPr>
              <w:t xml:space="preserve">both bundling and non-bundling capacities will be </w:t>
            </w:r>
            <w:r w:rsidR="001A50EB">
              <w:rPr>
                <w:rStyle w:val="grey1"/>
                <w:rFonts w:ascii="Calibri" w:hAnsi="Calibri" w:cs="Calibri"/>
                <w:color w:val="000000"/>
                <w:sz w:val="22"/>
                <w:szCs w:val="22"/>
                <w:lang w:val="en-GB"/>
              </w:rPr>
              <w:t>included</w:t>
            </w:r>
            <w:r w:rsidR="003167CC">
              <w:rPr>
                <w:rStyle w:val="grey1"/>
                <w:rFonts w:ascii="Calibri" w:hAnsi="Calibri" w:cs="Calibri"/>
                <w:color w:val="000000"/>
                <w:sz w:val="22"/>
                <w:szCs w:val="22"/>
                <w:lang w:val="en-GB"/>
              </w:rPr>
              <w:t xml:space="preserve"> i</w:t>
            </w:r>
            <w:r>
              <w:rPr>
                <w:rStyle w:val="grey1"/>
                <w:rFonts w:ascii="Calibri" w:hAnsi="Calibri" w:cs="Calibri"/>
                <w:color w:val="000000"/>
                <w:sz w:val="22"/>
                <w:szCs w:val="22"/>
                <w:lang w:val="en-GB"/>
              </w:rPr>
              <w:t xml:space="preserve">n the final version of the FG. Consequently, the NC should </w:t>
            </w:r>
            <w:r w:rsidR="003167CC">
              <w:rPr>
                <w:rStyle w:val="grey1"/>
                <w:rFonts w:ascii="Calibri" w:hAnsi="Calibri" w:cs="Calibri"/>
                <w:color w:val="000000"/>
                <w:sz w:val="22"/>
                <w:szCs w:val="22"/>
                <w:lang w:val="en-GB"/>
              </w:rPr>
              <w:t>reflect this outcome</w:t>
            </w:r>
            <w:r>
              <w:rPr>
                <w:rStyle w:val="grey1"/>
                <w:rFonts w:ascii="Calibri" w:hAnsi="Calibri" w:cs="Calibri"/>
                <w:color w:val="000000"/>
                <w:sz w:val="22"/>
                <w:szCs w:val="22"/>
                <w:lang w:val="en-GB"/>
              </w:rPr>
              <w:t>.</w:t>
            </w:r>
          </w:p>
          <w:p w:rsidR="00144664" w:rsidRPr="00542F09" w:rsidRDefault="00144664" w:rsidP="00AC4840">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Pr>
                <w:rFonts w:cs="Calibri"/>
                <w:b/>
              </w:rPr>
              <w:t xml:space="preserve">Question 16: </w:t>
            </w:r>
            <w:r w:rsidRPr="00F2637F">
              <w:rPr>
                <w:rFonts w:cs="Calibri"/>
              </w:rPr>
              <w:t>Do you consider that the process set out in the draft NC for determining the sequence of interruptions is appropriate? If not, what system would you prefer?</w:t>
            </w:r>
          </w:p>
        </w:tc>
      </w:tr>
      <w:tr w:rsidR="00144664" w:rsidRPr="00075022" w:rsidTr="00AC4840">
        <w:tc>
          <w:tcPr>
            <w:tcW w:w="9242" w:type="dxa"/>
            <w:shd w:val="clear" w:color="auto" w:fill="auto"/>
          </w:tcPr>
          <w:p w:rsidR="00F8471B" w:rsidRDefault="00144664"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Response: </w:t>
            </w:r>
          </w:p>
          <w:p w:rsidR="00144664" w:rsidRPr="00542F09" w:rsidRDefault="00DE227A" w:rsidP="00A618F4">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 xml:space="preserve">DONG Energy believes that the TSO’s must offer interruptible products equivalent to their product portfolio of firm products. This will secure that the market has an opportunity to utilize the full technical capacity even if firm capacity </w:t>
            </w:r>
            <w:r w:rsidR="00A618F4">
              <w:rPr>
                <w:rStyle w:val="grey1"/>
                <w:rFonts w:ascii="Calibri" w:eastAsia="Times New Roman" w:hAnsi="Calibri" w:cs="Calibri"/>
                <w:color w:val="000000"/>
                <w:sz w:val="22"/>
                <w:szCs w:val="22"/>
                <w:lang w:val="en-GB"/>
              </w:rPr>
              <w:t>holders may choose not to flow gas</w:t>
            </w:r>
            <w:r>
              <w:rPr>
                <w:rStyle w:val="grey1"/>
                <w:rFonts w:ascii="Calibri" w:eastAsia="Times New Roman" w:hAnsi="Calibri" w:cs="Calibri"/>
                <w:color w:val="000000"/>
                <w:sz w:val="22"/>
                <w:szCs w:val="22"/>
                <w:lang w:val="en-GB"/>
              </w:rPr>
              <w:t xml:space="preserve">. The volume of interruptible should </w:t>
            </w:r>
            <w:r w:rsidRPr="00DE227A">
              <w:rPr>
                <w:rStyle w:val="grey1"/>
                <w:rFonts w:ascii="Calibri" w:eastAsia="Times New Roman" w:hAnsi="Calibri" w:cs="Calibri"/>
                <w:color w:val="000000"/>
                <w:sz w:val="22"/>
                <w:szCs w:val="22"/>
                <w:u w:val="single"/>
                <w:lang w:val="en-GB"/>
              </w:rPr>
              <w:t>not</w:t>
            </w:r>
            <w:r>
              <w:rPr>
                <w:rStyle w:val="grey1"/>
                <w:rFonts w:ascii="Calibri" w:eastAsia="Times New Roman" w:hAnsi="Calibri" w:cs="Calibri"/>
                <w:color w:val="000000"/>
                <w:sz w:val="22"/>
                <w:szCs w:val="22"/>
                <w:lang w:val="en-GB"/>
              </w:rPr>
              <w:t xml:space="preserve"> be limited.</w:t>
            </w:r>
            <w:r w:rsidR="00C42972">
              <w:rPr>
                <w:rStyle w:val="grey1"/>
                <w:rFonts w:ascii="Calibri" w:eastAsia="Times New Roman" w:hAnsi="Calibri" w:cs="Calibri"/>
                <w:color w:val="000000"/>
                <w:sz w:val="22"/>
                <w:szCs w:val="22"/>
                <w:lang w:val="en-GB"/>
              </w:rPr>
              <w:t xml:space="preserve"> Interruptible products should be offered on FCFS basis.</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Pr>
                <w:b/>
              </w:rPr>
              <w:t xml:space="preserve">Question 17: </w:t>
            </w:r>
            <w:r>
              <w:rPr>
                <w:rFonts w:cs="Calibri"/>
              </w:rPr>
              <w:t xml:space="preserve">ENTSOG would welcome feedback, observations and suggestions related to this section of the supporting document and to Annex 2. Do you consider that ENTSOG has correctly identified the key tariff issues in these sections? </w:t>
            </w:r>
          </w:p>
        </w:tc>
      </w:tr>
      <w:tr w:rsidR="00144664" w:rsidRPr="00075022" w:rsidTr="00AC4840">
        <w:tc>
          <w:tcPr>
            <w:tcW w:w="9242" w:type="dxa"/>
            <w:shd w:val="clear" w:color="auto" w:fill="auto"/>
          </w:tcPr>
          <w:p w:rsidR="00144664" w:rsidRDefault="00144664" w:rsidP="00DE227A">
            <w:pPr>
              <w:pStyle w:val="Txt"/>
              <w:rPr>
                <w:rStyle w:val="grey1"/>
                <w:rFonts w:ascii="Calibri" w:eastAsia="Times New Roman" w:hAnsi="Calibri" w:cs="Calibri"/>
                <w:color w:val="000000"/>
                <w:sz w:val="22"/>
                <w:szCs w:val="22"/>
                <w:lang w:val="en-GB"/>
              </w:rPr>
            </w:pPr>
            <w:r w:rsidRPr="005C5131">
              <w:rPr>
                <w:rStyle w:val="grey1"/>
                <w:rFonts w:ascii="Calibri" w:eastAsia="Times New Roman" w:hAnsi="Calibri" w:cs="Calibri"/>
                <w:color w:val="000000"/>
                <w:sz w:val="22"/>
                <w:szCs w:val="22"/>
                <w:lang w:val="en-GB"/>
              </w:rPr>
              <w:t xml:space="preserve">Response: </w:t>
            </w:r>
          </w:p>
          <w:p w:rsidR="00DE227A" w:rsidRPr="00542F09" w:rsidRDefault="005D5461" w:rsidP="00AA55D5">
            <w:pPr>
              <w:pStyle w:val="Txt"/>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DONG Energy disagrees with Article 7 (3) of the “Tariff Provision” stipulating a principle, “which ENTSOG considers self-evident: regardless of the booking behaviour of network users, whether they procure longer term products or a set of products forming a profile, the target revenues shall be attained”.  We do not think that the revenue of the TSO’s shall be legally guaranteed. TSO’s should be remunerated according to the perceived product quality, which they provide to the market. For this reas</w:t>
            </w:r>
            <w:r w:rsidR="00AA55D5">
              <w:rPr>
                <w:rStyle w:val="grey1"/>
                <w:rFonts w:ascii="Calibri" w:eastAsia="Times New Roman" w:hAnsi="Calibri" w:cs="Calibri"/>
                <w:color w:val="000000"/>
                <w:sz w:val="22"/>
                <w:szCs w:val="22"/>
                <w:lang w:val="en-GB"/>
              </w:rPr>
              <w:t xml:space="preserve">on we would like to suggest </w:t>
            </w:r>
            <w:r>
              <w:rPr>
                <w:rStyle w:val="grey1"/>
                <w:rFonts w:ascii="Calibri" w:eastAsia="Times New Roman" w:hAnsi="Calibri" w:cs="Calibri"/>
                <w:color w:val="000000"/>
                <w:sz w:val="22"/>
                <w:szCs w:val="22"/>
                <w:lang w:val="en-GB"/>
              </w:rPr>
              <w:t xml:space="preserve">that the </w:t>
            </w:r>
            <w:r w:rsidR="00AA55D5">
              <w:rPr>
                <w:rStyle w:val="grey1"/>
                <w:rFonts w:ascii="Calibri" w:eastAsia="Times New Roman" w:hAnsi="Calibri" w:cs="Calibri"/>
                <w:color w:val="000000"/>
                <w:sz w:val="22"/>
                <w:szCs w:val="22"/>
                <w:lang w:val="en-GB"/>
              </w:rPr>
              <w:t xml:space="preserve">quality of the </w:t>
            </w:r>
            <w:r>
              <w:rPr>
                <w:rStyle w:val="grey1"/>
                <w:rFonts w:ascii="Calibri" w:eastAsia="Times New Roman" w:hAnsi="Calibri" w:cs="Calibri"/>
                <w:color w:val="000000"/>
                <w:sz w:val="22"/>
                <w:szCs w:val="22"/>
                <w:lang w:val="en-GB"/>
              </w:rPr>
              <w:t>standard deliver</w:t>
            </w:r>
            <w:r w:rsidR="00AA55D5">
              <w:rPr>
                <w:rStyle w:val="grey1"/>
                <w:rFonts w:ascii="Calibri" w:eastAsia="Times New Roman" w:hAnsi="Calibri" w:cs="Calibri"/>
                <w:color w:val="000000"/>
                <w:sz w:val="22"/>
                <w:szCs w:val="22"/>
                <w:lang w:val="en-GB"/>
              </w:rPr>
              <w:t>ies</w:t>
            </w:r>
            <w:r>
              <w:rPr>
                <w:rStyle w:val="grey1"/>
                <w:rFonts w:ascii="Calibri" w:eastAsia="Times New Roman" w:hAnsi="Calibri" w:cs="Calibri"/>
                <w:color w:val="000000"/>
                <w:sz w:val="22"/>
                <w:szCs w:val="22"/>
                <w:lang w:val="en-GB"/>
              </w:rPr>
              <w:t xml:space="preserve"> of a TSO is described </w:t>
            </w:r>
            <w:r w:rsidR="00AA55D5">
              <w:rPr>
                <w:rStyle w:val="grey1"/>
                <w:rFonts w:ascii="Calibri" w:eastAsia="Times New Roman" w:hAnsi="Calibri" w:cs="Calibri"/>
                <w:color w:val="000000"/>
                <w:sz w:val="22"/>
                <w:szCs w:val="22"/>
                <w:lang w:val="en-GB"/>
              </w:rPr>
              <w:t>in detail. Thereafter, the market can punish poor performers and reward excellent TSO’s.</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Pr>
                <w:rFonts w:cs="Calibri"/>
                <w:b/>
              </w:rPr>
              <w:t xml:space="preserve">Question 18: </w:t>
            </w:r>
            <w:r w:rsidRPr="006B5F17">
              <w:rPr>
                <w:rFonts w:cs="Calibri"/>
              </w:rPr>
              <w:t>What is your view of the process that ENTSOG has followed in order to produce the draft NC? Would you recommend that ENTSOG use a similar process to develop future NCs? What approaches would you suggest to enable ENTSOG to improve the process?</w:t>
            </w:r>
          </w:p>
        </w:tc>
      </w:tr>
      <w:tr w:rsidR="00144664" w:rsidRPr="00075022" w:rsidTr="00AC4840">
        <w:tc>
          <w:tcPr>
            <w:tcW w:w="9242" w:type="dxa"/>
            <w:shd w:val="clear" w:color="auto" w:fill="auto"/>
          </w:tcPr>
          <w:p w:rsidR="00AA55D5" w:rsidRDefault="00144664" w:rsidP="00AC4840">
            <w:pPr>
              <w:pStyle w:val="Txt"/>
              <w:spacing w:line="276" w:lineRule="auto"/>
              <w:ind w:right="0"/>
              <w:rPr>
                <w:rStyle w:val="grey1"/>
                <w:rFonts w:ascii="Calibri"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r>
              <w:rPr>
                <w:rStyle w:val="grey1"/>
                <w:rFonts w:ascii="Calibri" w:hAnsi="Calibri" w:cs="Calibri"/>
                <w:color w:val="000000"/>
                <w:sz w:val="22"/>
                <w:szCs w:val="22"/>
                <w:lang w:val="en-GB"/>
              </w:rPr>
              <w:t xml:space="preserve"> </w:t>
            </w:r>
          </w:p>
          <w:p w:rsidR="001C7C32" w:rsidRDefault="00AA55D5" w:rsidP="00AC484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DONG Energy is not fully satisfied with the process. It is clear that the Network Codes on CAM are drafted while the most important issues are still being heavily debated on higher levels i.e. Framework Guidelines and Gas Target Model.  Caution should therefore be taken when drafting the NC not to use the current draft FG as the only fix point.</w:t>
            </w:r>
          </w:p>
          <w:p w:rsidR="00144664" w:rsidRPr="00542F09" w:rsidRDefault="001C7C32" w:rsidP="001A50EB">
            <w:pPr>
              <w:pStyle w:val="Txt"/>
              <w:spacing w:line="276" w:lineRule="auto"/>
              <w:ind w:right="0"/>
              <w:rPr>
                <w:rStyle w:val="grey1"/>
                <w:rFonts w:ascii="Calibri" w:eastAsia="Times New Roman" w:hAnsi="Calibri" w:cs="Calibri"/>
                <w:color w:val="000000"/>
                <w:sz w:val="22"/>
                <w:szCs w:val="22"/>
                <w:lang w:val="en-GB"/>
              </w:rPr>
            </w:pPr>
            <w:r>
              <w:rPr>
                <w:rStyle w:val="grey1"/>
                <w:rFonts w:ascii="Calibri" w:hAnsi="Calibri" w:cs="Calibri"/>
                <w:color w:val="000000"/>
                <w:sz w:val="22"/>
                <w:szCs w:val="22"/>
                <w:lang w:val="en-GB"/>
              </w:rPr>
              <w:t>The consultation process including meetings at various levels has been greatly improved, although stakeholders should try to concentrate on solving outstanding issues instead of using still a lot of time on repeating matters, which have been resolved.</w:t>
            </w:r>
            <w:r w:rsidR="00AA55D5">
              <w:rPr>
                <w:rStyle w:val="grey1"/>
                <w:rFonts w:ascii="Calibri" w:hAnsi="Calibri" w:cs="Calibri"/>
                <w:color w:val="000000"/>
                <w:sz w:val="22"/>
                <w:szCs w:val="22"/>
                <w:lang w:val="en-GB"/>
              </w:rPr>
              <w:t xml:space="preserve"> </w:t>
            </w: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075022" w:rsidTr="00AC4840">
        <w:trPr>
          <w:trHeight w:val="432"/>
        </w:trPr>
        <w:tc>
          <w:tcPr>
            <w:tcW w:w="9242" w:type="dxa"/>
            <w:tcBorders>
              <w:bottom w:val="single" w:sz="4" w:space="0" w:color="auto"/>
            </w:tcBorders>
            <w:shd w:val="clear" w:color="auto" w:fill="9BBB59"/>
          </w:tcPr>
          <w:p w:rsidR="00144664" w:rsidRPr="00075022" w:rsidRDefault="00144664" w:rsidP="00AC4840">
            <w:pPr>
              <w:spacing w:before="120" w:after="120"/>
              <w:jc w:val="both"/>
              <w:rPr>
                <w:rStyle w:val="grey1"/>
                <w:rFonts w:cs="Calibri"/>
                <w:b/>
                <w:color w:val="000000"/>
              </w:rPr>
            </w:pPr>
            <w:r>
              <w:rPr>
                <w:rFonts w:cs="Calibri"/>
                <w:b/>
              </w:rPr>
              <w:t xml:space="preserve">Question 19: </w:t>
            </w:r>
            <w:r w:rsidRPr="006B5F17">
              <w:rPr>
                <w:rFonts w:cs="Calibri"/>
              </w:rPr>
              <w:t xml:space="preserve">ENTSOG is developing a new website and would welcome stakeholder views on how to make it as useful as possible. What are your views about the current ENTSOG website, </w:t>
            </w:r>
            <w:hyperlink r:id="rId10" w:history="1">
              <w:r w:rsidRPr="00121CFF">
                <w:rPr>
                  <w:rStyle w:val="Hyperlink"/>
                  <w:rFonts w:cs="Calibri"/>
                </w:rPr>
                <w:t>www.entsog.eu</w:t>
              </w:r>
            </w:hyperlink>
            <w:r w:rsidRPr="006B5F17">
              <w:rPr>
                <w:rFonts w:cs="Calibri"/>
              </w:rPr>
              <w:t>, and what could be improved?</w:t>
            </w:r>
            <w:r>
              <w:rPr>
                <w:rFonts w:cs="Calibri"/>
              </w:rPr>
              <w:t xml:space="preserve"> </w:t>
            </w:r>
          </w:p>
        </w:tc>
      </w:tr>
      <w:tr w:rsidR="00144664" w:rsidRPr="00075022" w:rsidTr="00AC4840">
        <w:tc>
          <w:tcPr>
            <w:tcW w:w="9242" w:type="dxa"/>
            <w:shd w:val="clear" w:color="auto" w:fill="auto"/>
          </w:tcPr>
          <w:p w:rsidR="001C7C32" w:rsidRDefault="00144664" w:rsidP="00AC4840">
            <w:pPr>
              <w:pStyle w:val="Txt"/>
              <w:spacing w:line="276" w:lineRule="auto"/>
              <w:ind w:right="0"/>
              <w:rPr>
                <w:rStyle w:val="grey1"/>
                <w:rFonts w:ascii="Calibri" w:eastAsia="Times New Roman" w:hAnsi="Calibri" w:cs="Calibri"/>
                <w:color w:val="000000"/>
                <w:sz w:val="22"/>
                <w:szCs w:val="22"/>
                <w:lang w:val="en-GB"/>
              </w:rPr>
            </w:pPr>
            <w:r w:rsidRPr="00542F09">
              <w:rPr>
                <w:rStyle w:val="grey1"/>
                <w:rFonts w:ascii="Calibri" w:eastAsia="Times New Roman" w:hAnsi="Calibri" w:cs="Calibri"/>
                <w:color w:val="000000"/>
                <w:sz w:val="22"/>
                <w:szCs w:val="22"/>
                <w:lang w:val="en-GB"/>
              </w:rPr>
              <w:t>Response:</w:t>
            </w:r>
          </w:p>
          <w:p w:rsidR="00144664" w:rsidRPr="00542F09" w:rsidRDefault="001A50EB" w:rsidP="00AC4840">
            <w:pPr>
              <w:pStyle w:val="Txt"/>
              <w:spacing w:line="276" w:lineRule="auto"/>
              <w:ind w:right="0"/>
              <w:rPr>
                <w:rStyle w:val="grey1"/>
                <w:rFonts w:ascii="Calibri" w:eastAsia="Times New Roman" w:hAnsi="Calibri" w:cs="Calibri"/>
                <w:color w:val="000000"/>
                <w:sz w:val="22"/>
                <w:szCs w:val="22"/>
                <w:lang w:val="en-GB"/>
              </w:rPr>
            </w:pPr>
            <w:r>
              <w:rPr>
                <w:rStyle w:val="grey1"/>
                <w:rFonts w:ascii="Calibri" w:eastAsia="Times New Roman" w:hAnsi="Calibri" w:cs="Calibri"/>
                <w:color w:val="000000"/>
                <w:sz w:val="22"/>
                <w:szCs w:val="22"/>
                <w:lang w:val="en-GB"/>
              </w:rPr>
              <w:t>Currently, the web side seems to adequately fulfil its purpose.</w:t>
            </w:r>
          </w:p>
          <w:p w:rsidR="00144664" w:rsidRPr="00542F09" w:rsidRDefault="00144664" w:rsidP="00AC4840">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tblPr>
      <w:tblGrid>
        <w:gridCol w:w="9242"/>
      </w:tblGrid>
      <w:tr w:rsidR="00144664" w:rsidRPr="00651073" w:rsidTr="00AC4840">
        <w:trPr>
          <w:trHeight w:val="432"/>
        </w:trPr>
        <w:tc>
          <w:tcPr>
            <w:tcW w:w="9242" w:type="dxa"/>
            <w:tcBorders>
              <w:bottom w:val="single" w:sz="4" w:space="0" w:color="auto"/>
            </w:tcBorders>
            <w:shd w:val="clear" w:color="auto" w:fill="9BBB59"/>
          </w:tcPr>
          <w:p w:rsidR="00144664" w:rsidRPr="00542F09" w:rsidRDefault="00144664" w:rsidP="00AC4840">
            <w:pPr>
              <w:pStyle w:val="Txt"/>
              <w:spacing w:line="276" w:lineRule="auto"/>
              <w:ind w:right="0"/>
              <w:rPr>
                <w:rStyle w:val="grey1"/>
                <w:rFonts w:ascii="Calibri" w:eastAsia="Times New Roman" w:hAnsi="Calibri" w:cs="Calibri"/>
                <w:b/>
                <w:color w:val="000000"/>
                <w:sz w:val="22"/>
                <w:szCs w:val="22"/>
                <w:lang w:val="en-GB"/>
              </w:rPr>
            </w:pPr>
            <w:r w:rsidRPr="00542F09">
              <w:rPr>
                <w:rStyle w:val="grey1"/>
                <w:rFonts w:ascii="Calibri" w:eastAsia="Times New Roman" w:hAnsi="Calibri" w:cs="Calibri"/>
                <w:b/>
                <w:color w:val="000000"/>
                <w:sz w:val="22"/>
                <w:szCs w:val="22"/>
                <w:lang w:val="en-GB"/>
              </w:rPr>
              <w:t>Do you have any other comments or observations you would like to make?</w:t>
            </w:r>
            <w:r w:rsidRPr="00542F09">
              <w:rPr>
                <w:rStyle w:val="grey1"/>
                <w:rFonts w:ascii="Calibri" w:eastAsia="Times New Roman" w:hAnsi="Calibri" w:cs="Calibri"/>
                <w:color w:val="000000"/>
                <w:sz w:val="22"/>
                <w:szCs w:val="22"/>
                <w:lang w:val="en-GB"/>
              </w:rPr>
              <w:t xml:space="preserve"> </w:t>
            </w:r>
          </w:p>
        </w:tc>
      </w:tr>
      <w:tr w:rsidR="00144664" w:rsidRPr="00651073" w:rsidTr="00AC4840">
        <w:tc>
          <w:tcPr>
            <w:tcW w:w="9242" w:type="dxa"/>
            <w:shd w:val="clear" w:color="auto" w:fill="auto"/>
          </w:tcPr>
          <w:p w:rsidR="00144664" w:rsidRPr="00542F09" w:rsidRDefault="00144664" w:rsidP="001C7C32">
            <w:pPr>
              <w:pStyle w:val="Txt"/>
              <w:spacing w:line="276" w:lineRule="auto"/>
              <w:ind w:right="0"/>
              <w:rPr>
                <w:rStyle w:val="grey1"/>
                <w:rFonts w:ascii="Calibri" w:eastAsia="Times New Roman" w:hAnsi="Calibri" w:cs="Calibri"/>
                <w:color w:val="000000"/>
                <w:sz w:val="22"/>
                <w:szCs w:val="22"/>
                <w:lang w:val="en-GB"/>
              </w:rPr>
            </w:pPr>
          </w:p>
        </w:tc>
      </w:tr>
    </w:tbl>
    <w:p w:rsidR="00144664" w:rsidRPr="00651073" w:rsidRDefault="00144664" w:rsidP="00144664">
      <w:pPr>
        <w:pStyle w:val="Txt"/>
        <w:spacing w:line="276" w:lineRule="auto"/>
        <w:ind w:right="0"/>
        <w:rPr>
          <w:rStyle w:val="grey1"/>
          <w:rFonts w:ascii="Calibri" w:hAnsi="Calibri" w:cs="Calibri"/>
          <w:color w:val="000000"/>
          <w:sz w:val="22"/>
          <w:szCs w:val="22"/>
          <w:lang w:val="en-GB"/>
        </w:rPr>
      </w:pPr>
    </w:p>
    <w:p w:rsidR="00144664" w:rsidRPr="00651073" w:rsidRDefault="00144664" w:rsidP="00144664">
      <w:pPr>
        <w:pStyle w:val="Txt"/>
        <w:spacing w:line="276" w:lineRule="auto"/>
        <w:ind w:right="6"/>
        <w:rPr>
          <w:rFonts w:ascii="Calibri" w:hAnsi="Calibri" w:cs="Calibri"/>
          <w:lang w:val="en-GB"/>
        </w:rPr>
      </w:pPr>
    </w:p>
    <w:p w:rsidR="00144664" w:rsidRPr="00651073" w:rsidRDefault="00144664" w:rsidP="00144664">
      <w:pPr>
        <w:spacing w:before="120" w:after="120"/>
        <w:jc w:val="both"/>
        <w:rPr>
          <w:rFonts w:cs="Calibri"/>
        </w:rPr>
      </w:pPr>
    </w:p>
    <w:p w:rsidR="00144664" w:rsidRPr="00B47602" w:rsidRDefault="00144664" w:rsidP="00144664">
      <w:pPr>
        <w:pStyle w:val="Overskrift1"/>
        <w:jc w:val="both"/>
        <w:rPr>
          <w:rFonts w:cs="Calibri"/>
        </w:rPr>
      </w:pPr>
      <w:r>
        <w:rPr>
          <w:rFonts w:cs="Calibri"/>
        </w:rPr>
        <w:t xml:space="preserve"> </w:t>
      </w:r>
    </w:p>
    <w:p w:rsidR="00144664" w:rsidRPr="00651073" w:rsidRDefault="00144664" w:rsidP="00DD4D5D">
      <w:pPr>
        <w:pStyle w:val="Txt"/>
        <w:spacing w:after="240" w:line="320" w:lineRule="exact"/>
        <w:ind w:right="0"/>
        <w:rPr>
          <w:rStyle w:val="grey1"/>
          <w:rFonts w:ascii="Calibri" w:hAnsi="Calibri" w:cs="Calibri"/>
          <w:color w:val="000000"/>
          <w:sz w:val="22"/>
          <w:szCs w:val="22"/>
          <w:lang w:val="en-GB"/>
        </w:rPr>
      </w:pPr>
    </w:p>
    <w:sectPr w:rsidR="00144664" w:rsidRPr="00651073" w:rsidSect="001D6DC3">
      <w:headerReference w:type="even" r:id="rId11"/>
      <w:headerReference w:type="default" r:id="rId12"/>
      <w:footerReference w:type="even" r:id="rId13"/>
      <w:footerReference w:type="default" r:id="rId14"/>
      <w:headerReference w:type="first" r:id="rId15"/>
      <w:footerReference w:type="first" r:id="rId16"/>
      <w:pgSz w:w="11906" w:h="16838"/>
      <w:pgMar w:top="503" w:right="1440" w:bottom="990" w:left="1440" w:header="600" w:footer="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BB1" w:rsidRDefault="00413BB1" w:rsidP="00B23CF5">
      <w:pPr>
        <w:spacing w:after="0" w:line="240" w:lineRule="auto"/>
      </w:pPr>
      <w:r>
        <w:separator/>
      </w:r>
    </w:p>
  </w:endnote>
  <w:endnote w:type="continuationSeparator" w:id="0">
    <w:p w:rsidR="00413BB1" w:rsidRDefault="00413BB1"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B1" w:rsidRDefault="00413BB1" w:rsidP="00335742">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rsidR="00413BB1" w:rsidRDefault="00413BB1" w:rsidP="00335742">
    <w:pPr>
      <w:pStyle w:val="Sidefo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B1" w:rsidRDefault="00413BB1">
    <w:pPr>
      <w:pStyle w:val="Sidefod"/>
      <w:pBdr>
        <w:bottom w:val="single" w:sz="6" w:space="1" w:color="auto"/>
      </w:pBdr>
      <w:jc w:val="center"/>
    </w:pPr>
  </w:p>
  <w:p w:rsidR="00413BB1" w:rsidRPr="00E52663" w:rsidRDefault="00413BB1">
    <w:pPr>
      <w:pStyle w:val="Sidefod"/>
      <w:jc w:val="center"/>
      <w:rPr>
        <w:sz w:val="10"/>
        <w:szCs w:val="10"/>
      </w:rPr>
    </w:pPr>
  </w:p>
  <w:p w:rsidR="00413BB1" w:rsidRPr="00DA0646" w:rsidRDefault="00413BB1">
    <w:pPr>
      <w:pStyle w:val="Sidefod"/>
      <w:jc w:val="center"/>
    </w:pPr>
    <w:r w:rsidRPr="00DA0646">
      <w:rPr>
        <w:sz w:val="20"/>
        <w:szCs w:val="20"/>
      </w:rPr>
      <w:t xml:space="preserve">Page </w:t>
    </w:r>
    <w:r w:rsidRPr="00DA0646">
      <w:rPr>
        <w:sz w:val="20"/>
        <w:szCs w:val="20"/>
      </w:rPr>
      <w:fldChar w:fldCharType="begin"/>
    </w:r>
    <w:r w:rsidRPr="00DA0646">
      <w:rPr>
        <w:sz w:val="20"/>
        <w:szCs w:val="20"/>
      </w:rPr>
      <w:instrText xml:space="preserve"> PAGE </w:instrText>
    </w:r>
    <w:r w:rsidRPr="00DA0646">
      <w:rPr>
        <w:sz w:val="20"/>
        <w:szCs w:val="20"/>
      </w:rPr>
      <w:fldChar w:fldCharType="separate"/>
    </w:r>
    <w:r w:rsidR="00895126">
      <w:rPr>
        <w:noProof/>
        <w:sz w:val="20"/>
        <w:szCs w:val="20"/>
      </w:rPr>
      <w:t>2</w:t>
    </w:r>
    <w:r w:rsidRPr="00DA0646">
      <w:rPr>
        <w:sz w:val="20"/>
        <w:szCs w:val="20"/>
      </w:rPr>
      <w:fldChar w:fldCharType="end"/>
    </w:r>
    <w:r w:rsidRPr="00DA0646">
      <w:rPr>
        <w:sz w:val="20"/>
        <w:szCs w:val="20"/>
      </w:rPr>
      <w:t xml:space="preserve"> of </w:t>
    </w:r>
    <w:r w:rsidRPr="00DA0646">
      <w:rPr>
        <w:sz w:val="20"/>
        <w:szCs w:val="20"/>
      </w:rPr>
      <w:fldChar w:fldCharType="begin"/>
    </w:r>
    <w:r w:rsidRPr="00DA0646">
      <w:rPr>
        <w:sz w:val="20"/>
        <w:szCs w:val="20"/>
      </w:rPr>
      <w:instrText xml:space="preserve"> NUMPAGES  </w:instrText>
    </w:r>
    <w:r w:rsidRPr="00DA0646">
      <w:rPr>
        <w:sz w:val="20"/>
        <w:szCs w:val="20"/>
      </w:rPr>
      <w:fldChar w:fldCharType="separate"/>
    </w:r>
    <w:r w:rsidR="00895126">
      <w:rPr>
        <w:noProof/>
        <w:sz w:val="20"/>
        <w:szCs w:val="20"/>
      </w:rPr>
      <w:t>8</w:t>
    </w:r>
    <w:r w:rsidRPr="00DA0646">
      <w:rPr>
        <w:sz w:val="20"/>
        <w:szCs w:val="20"/>
      </w:rPr>
      <w:fldChar w:fldCharType="end"/>
    </w:r>
  </w:p>
  <w:p w:rsidR="00413BB1" w:rsidRDefault="00413BB1" w:rsidP="00335742">
    <w:pPr>
      <w:pStyle w:val="Sidefo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B1" w:rsidRPr="00891C27" w:rsidRDefault="00413BB1" w:rsidP="009927DB">
    <w:pPr>
      <w:pStyle w:val="Sidefod"/>
      <w:rPr>
        <w:lang w:val="de-DE"/>
      </w:rPr>
    </w:pPr>
    <w:r w:rsidRPr="000B3B49">
      <w:rPr>
        <w:noProof/>
      </w:rPr>
      <w:pict>
        <v:shapetype id="_x0000_t202" coordsize="21600,21600" o:spt="202" path="m,l,21600r21600,l21600,xe">
          <v:stroke joinstyle="miter"/>
          <v:path gradientshapeok="t" o:connecttype="rect"/>
        </v:shapetype>
        <v:shape id="Text Box 9" o:spid="_x0000_s2052" type="#_x0000_t202" style="position:absolute;margin-left:-4.9pt;margin-top:-20.7pt;width:563.8pt;height:44.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dEuQIAAMA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" filled="f" stroked="f">
          <v:textbox style="mso-next-textbox:#Text Box 9">
            <w:txbxContent>
              <w:p w:rsidR="00413BB1" w:rsidRPr="00774FF6" w:rsidRDefault="00413BB1" w:rsidP="00774FF6">
                <w:pPr>
                  <w:spacing w:after="0" w:line="240" w:lineRule="auto"/>
                  <w:rPr>
                    <w:color w:val="2A3F82"/>
                    <w:sz w:val="18"/>
                    <w:szCs w:val="18"/>
                    <w:lang w:val="fr-FR"/>
                  </w:rPr>
                </w:pPr>
                <w:r w:rsidRPr="00774FF6">
                  <w:rPr>
                    <w:color w:val="2A3F82"/>
                    <w:sz w:val="18"/>
                    <w:szCs w:val="18"/>
                    <w:lang w:val="fr-FR"/>
                  </w:rPr>
                  <w:t>ENTSOG  AISBL; Rue Ducale 83,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Fax: +32 2 894 5101;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txbxContent>
          </v:textbox>
        </v:shape>
      </w:pict>
    </w:r>
    <w:r w:rsidRPr="000B3B49">
      <w:rPr>
        <w:noProof/>
      </w:rPr>
      <w:pict>
        <v:shape id="Text Box 8" o:spid="_x0000_s2051" type="#_x0000_t202" style="position:absolute;margin-left:-4.5pt;margin-top:-42.3pt;width:461.25pt;height:27.0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PyauAIAAMA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" filled="f" stroked="f">
          <v:textbox style="mso-next-textbox:#Text Box 8">
            <w:txbxContent>
              <w:p w:rsidR="00413BB1" w:rsidRDefault="00413BB1" w:rsidP="009927DB">
                <w:pPr>
                  <w:pBdr>
                    <w:bottom w:val="single" w:sz="6" w:space="1" w:color="auto"/>
                  </w:pBdr>
                </w:pPr>
              </w:p>
              <w:p w:rsidR="00413BB1" w:rsidRDefault="00413BB1" w:rsidP="009927D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BB1" w:rsidRDefault="00413BB1" w:rsidP="00B23CF5">
      <w:pPr>
        <w:spacing w:after="0" w:line="240" w:lineRule="auto"/>
      </w:pPr>
      <w:r>
        <w:separator/>
      </w:r>
    </w:p>
  </w:footnote>
  <w:footnote w:type="continuationSeparator" w:id="0">
    <w:p w:rsidR="00413BB1" w:rsidRDefault="00413BB1" w:rsidP="00B23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B1" w:rsidRDefault="00413BB1">
    <w:pPr>
      <w:pStyle w:val="Sidehoved"/>
    </w:pPr>
    <w:r w:rsidRPr="000B3B4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1312;mso-position-horizontal:center;mso-position-horizontal-relative:margin;mso-position-vertical:center;mso-position-vertical-relative:margin" o:allowincell="f">
          <v:imagedata r:id="rId1" o:title="ENTSOG watermar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4A0"/>
    </w:tblPr>
    <w:tblGrid>
      <w:gridCol w:w="4068"/>
      <w:gridCol w:w="5220"/>
    </w:tblGrid>
    <w:tr w:rsidR="00413BB1" w:rsidRPr="00B23CF5" w:rsidTr="00387C73">
      <w:tc>
        <w:tcPr>
          <w:tcW w:w="4068" w:type="dxa"/>
        </w:tcPr>
        <w:p w:rsidR="00413BB1" w:rsidRPr="00B23CF5" w:rsidRDefault="00413BB1" w:rsidP="00387C73">
          <w:pPr>
            <w:pStyle w:val="Sidehoved"/>
            <w:tabs>
              <w:tab w:val="clear" w:pos="9026"/>
              <w:tab w:val="right" w:pos="9180"/>
            </w:tabs>
            <w:rPr>
              <w:rFonts w:ascii="Arial" w:eastAsia="Times New Roman" w:hAnsi="Arial" w:cs="Arial"/>
              <w:sz w:val="18"/>
              <w:szCs w:val="20"/>
              <w:lang w:eastAsia="en-GB"/>
            </w:rPr>
          </w:pPr>
          <w:r w:rsidRPr="000B3B49">
            <w:rPr>
              <w:noProof/>
            </w:rPr>
            <w:pict>
              <v:shapetype id="_x0000_t202" coordsize="21600,21600" o:spt="202" path="m,l,21600r21600,l21600,xe">
                <v:stroke joinstyle="miter"/>
                <v:path gradientshapeok="t" o:connecttype="rect"/>
              </v:shapetype>
              <v:shape id="Text Box 10" o:spid="_x0000_s2053" type="#_x0000_t202" style="position:absolute;margin-left:-13.3pt;margin-top:.1pt;width:129.25pt;height:6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zSgAIAABA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DYgHNKA&#10;AgAAEAUAAA4AAAAAAAAAAAAAAAAALgIAAGRycy9lMm9Eb2MueG1sUEsBAi0AFAAGAAgAAAAhAPdd&#10;DivfAAAACAEAAA8AAAAAAAAAAAAAAAAA2gQAAGRycy9kb3ducmV2LnhtbFBLBQYAAAAABAAEAPMA&#10;AADmBQAAAAA=&#10;" filled="f" strokecolor="white">
                <v:textbox style="mso-next-textbox:#Text Box 10">
                  <w:txbxContent>
                    <w:p w:rsidR="00413BB1" w:rsidRDefault="00413BB1" w:rsidP="0059140C">
                      <w:r w:rsidRPr="000B3B49">
                        <w:rPr>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6" type="#_x0000_t75" alt="Description: logo_ENTSOG_no_txt.png" style="width:98.25pt;height:54.75pt;visibility:visible">
                            <v:imagedata r:id="rId1" o:title="logo_ENTSOG_no_txt"/>
                          </v:shape>
                        </w:pict>
                      </w:r>
                    </w:p>
                  </w:txbxContent>
                </v:textbox>
              </v:shape>
            </w:pict>
          </w:r>
          <w:r w:rsidRPr="000B3B49">
            <w:rPr>
              <w:rFonts w:ascii="Arial" w:eastAsia="Times New Roman" w:hAnsi="Arial" w:cs="Arial"/>
              <w:noProof/>
              <w:sz w:val="18"/>
              <w:szCs w:val="20"/>
              <w:lang w:val="en-US"/>
            </w:rPr>
            <w:pict>
              <v:shape id="WordPictureWatermark32769080" o:spid="_x0000_s2050" type="#_x0000_t75" style="position:absolute;margin-left:0;margin-top:0;width:450.85pt;height:465.35pt;z-index:-251660288;mso-position-horizontal:center;mso-position-horizontal-relative:margin;mso-position-vertical:center;mso-position-vertical-relative:margin" o:allowincell="f">
                <v:imagedata r:id="rId2" o:title="ENTSOG watermark"/>
                <w10:wrap anchorx="margin" anchory="margin"/>
              </v:shape>
            </w:pict>
          </w:r>
        </w:p>
      </w:tc>
      <w:tc>
        <w:tcPr>
          <w:tcW w:w="5220" w:type="dxa"/>
        </w:tcPr>
        <w:p w:rsidR="00413BB1" w:rsidRDefault="00413BB1" w:rsidP="00355B17">
          <w:pPr>
            <w:pStyle w:val="Sidehoved"/>
            <w:tabs>
              <w:tab w:val="clear" w:pos="4513"/>
              <w:tab w:val="center" w:pos="4084"/>
            </w:tabs>
            <w:ind w:left="-284" w:right="226"/>
            <w:jc w:val="right"/>
            <w:rPr>
              <w:rFonts w:ascii="Arial" w:hAnsi="Arial" w:cs="Arial"/>
              <w:sz w:val="18"/>
              <w:szCs w:val="18"/>
            </w:rPr>
          </w:pPr>
        </w:p>
        <w:p w:rsidR="00413BB1" w:rsidRPr="00646CF8" w:rsidRDefault="00413BB1" w:rsidP="00B85CBD">
          <w:pPr>
            <w:pStyle w:val="Sidehoved"/>
            <w:tabs>
              <w:tab w:val="clear" w:pos="4513"/>
              <w:tab w:val="left" w:pos="4932"/>
              <w:tab w:val="left" w:pos="5022"/>
            </w:tabs>
            <w:ind w:right="-18"/>
            <w:jc w:val="right"/>
            <w:rPr>
              <w:rFonts w:eastAsia="Times New Roman" w:cs="Arial"/>
              <w:lang w:val="fr-FR"/>
            </w:rPr>
          </w:pPr>
          <w:r>
            <w:rPr>
              <w:rFonts w:eastAsia="Times New Roman" w:cs="Arial"/>
              <w:lang w:val="fr-FR"/>
            </w:rPr>
            <w:t>CAM NC –</w:t>
          </w:r>
          <w:r w:rsidRPr="00646CF8">
            <w:rPr>
              <w:rFonts w:eastAsia="Times New Roman" w:cs="Arial"/>
              <w:lang w:val="fr-FR"/>
            </w:rPr>
            <w:t xml:space="preserve"> </w:t>
          </w:r>
          <w:r>
            <w:rPr>
              <w:rFonts w:eastAsia="Times New Roman" w:cs="Arial"/>
              <w:lang w:val="fr-FR"/>
            </w:rPr>
            <w:t>consultation response sheet</w:t>
          </w:r>
        </w:p>
        <w:p w:rsidR="00413BB1" w:rsidRPr="00646CF8" w:rsidRDefault="00413BB1" w:rsidP="00B85CBD">
          <w:pPr>
            <w:pStyle w:val="Sidehoved"/>
            <w:tabs>
              <w:tab w:val="clear" w:pos="4513"/>
              <w:tab w:val="left" w:pos="4932"/>
              <w:tab w:val="left" w:pos="5022"/>
            </w:tabs>
            <w:ind w:right="-18"/>
            <w:jc w:val="right"/>
            <w:rPr>
              <w:rFonts w:eastAsia="Times New Roman" w:cs="Arial"/>
              <w:lang w:val="fr-FR"/>
            </w:rPr>
          </w:pPr>
          <w:r w:rsidRPr="00646CF8">
            <w:rPr>
              <w:rFonts w:eastAsia="Times New Roman" w:cs="Arial"/>
              <w:lang w:val="fr-FR"/>
            </w:rPr>
            <w:t xml:space="preserve">       </w:t>
          </w:r>
          <w:r w:rsidR="00AD2CA6">
            <w:rPr>
              <w:rFonts w:eastAsia="Times New Roman" w:cs="Arial"/>
              <w:lang w:val="fr-FR"/>
            </w:rPr>
            <w:t>August 3rd,</w:t>
          </w:r>
          <w:r w:rsidRPr="00646CF8">
            <w:rPr>
              <w:rFonts w:eastAsia="Times New Roman" w:cs="Arial"/>
              <w:lang w:val="fr-FR"/>
            </w:rPr>
            <w:t xml:space="preserve"> 2011 </w:t>
          </w:r>
        </w:p>
        <w:p w:rsidR="00413BB1" w:rsidRPr="00B23CF5" w:rsidRDefault="00413BB1" w:rsidP="00B24F03">
          <w:pPr>
            <w:pStyle w:val="Sidehoved"/>
            <w:tabs>
              <w:tab w:val="clear" w:pos="4513"/>
              <w:tab w:val="center" w:pos="4084"/>
            </w:tabs>
            <w:jc w:val="right"/>
            <w:rPr>
              <w:rFonts w:ascii="Arial" w:eastAsia="Times New Roman" w:hAnsi="Arial" w:cs="Arial"/>
              <w:sz w:val="18"/>
              <w:szCs w:val="20"/>
              <w:lang w:eastAsia="en-GB"/>
            </w:rPr>
          </w:pPr>
        </w:p>
      </w:tc>
    </w:tr>
  </w:tbl>
  <w:p w:rsidR="00413BB1" w:rsidRDefault="00413BB1">
    <w:pPr>
      <w:pStyle w:val="Sidehove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01" w:type="dxa"/>
      <w:tblLook w:val="04A0"/>
    </w:tblPr>
    <w:tblGrid>
      <w:gridCol w:w="9301"/>
    </w:tblGrid>
    <w:tr w:rsidR="00413BB1" w:rsidRPr="00C05500" w:rsidTr="00A6425A">
      <w:trPr>
        <w:trHeight w:val="1419"/>
      </w:trPr>
      <w:tc>
        <w:tcPr>
          <w:tcW w:w="9301" w:type="dxa"/>
        </w:tcPr>
        <w:tbl>
          <w:tblPr>
            <w:tblW w:w="9085" w:type="dxa"/>
            <w:tblLook w:val="04A0"/>
          </w:tblPr>
          <w:tblGrid>
            <w:gridCol w:w="4315"/>
            <w:gridCol w:w="4770"/>
          </w:tblGrid>
          <w:tr w:rsidR="00413BB1" w:rsidRPr="00C05500" w:rsidTr="00B54486">
            <w:trPr>
              <w:trHeight w:val="1276"/>
            </w:trPr>
            <w:tc>
              <w:tcPr>
                <w:tcW w:w="4315" w:type="dxa"/>
              </w:tcPr>
              <w:p w:rsidR="00413BB1" w:rsidRPr="00C05500" w:rsidRDefault="00413BB1" w:rsidP="00B54486">
                <w:pPr>
                  <w:ind w:left="-108"/>
                  <w:rPr>
                    <w:rFonts w:ascii="Times New Roman" w:eastAsia="Times New Roman" w:hAnsi="Times New Roman"/>
                    <w:noProof/>
                    <w:lang w:val="en-US"/>
                  </w:rPr>
                </w:pPr>
                <w:r w:rsidRPr="000B3B49">
                  <w:rPr>
                    <w:noProof/>
                  </w:rPr>
                  <w:pict>
                    <v:shapetype id="_x0000_t202" coordsize="21600,21600" o:spt="202" path="m,l,21600r21600,l21600,xe">
                      <v:stroke joinstyle="miter"/>
                      <v:path gradientshapeok="t" o:connecttype="rect"/>
                    </v:shapetype>
                    <v:shape id="Text Box 13" o:spid="_x0000_s2054" type="#_x0000_t202" style="position:absolute;left:0;text-align:left;margin-left:-17.3pt;margin-top:-2.9pt;width:180.5pt;height:110.7pt;z-index:251660288;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CWugIAAMI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" filled="f" stroked="f">
                      <v:textbox style="mso-next-textbox:#Text Box 13;mso-fit-shape-to-text:t">
                        <w:txbxContent>
                          <w:p w:rsidR="00413BB1" w:rsidRDefault="00413BB1" w:rsidP="00A6425A">
                            <w:r w:rsidRPr="000B3B49">
                              <w:rPr>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8" type="#_x0000_t75" alt="Description: logo_ENTSOG_txt.png" style="width:96.75pt;height:54pt;visibility:visible">
                                  <v:imagedata r:id="rId1" o:title="logo_ENTSOG_txt"/>
                                </v:shape>
                              </w:pict>
                            </w:r>
                          </w:p>
                        </w:txbxContent>
                      </v:textbox>
                    </v:shape>
                  </w:pict>
                </w:r>
              </w:p>
            </w:tc>
            <w:tc>
              <w:tcPr>
                <w:tcW w:w="4770" w:type="dxa"/>
              </w:tcPr>
              <w:p w:rsidR="00413BB1" w:rsidRPr="00C05500" w:rsidRDefault="00413BB1" w:rsidP="00B54486">
                <w:pPr>
                  <w:pStyle w:val="Sidehoved"/>
                  <w:tabs>
                    <w:tab w:val="clear" w:pos="4513"/>
                    <w:tab w:val="left" w:pos="4932"/>
                    <w:tab w:val="left" w:pos="5022"/>
                  </w:tabs>
                  <w:ind w:right="-18"/>
                  <w:jc w:val="right"/>
                  <w:rPr>
                    <w:rFonts w:eastAsia="Times New Roman" w:cs="Arial"/>
                  </w:rPr>
                </w:pPr>
              </w:p>
              <w:p w:rsidR="00413BB1" w:rsidRPr="00A6425A" w:rsidRDefault="00413BB1" w:rsidP="00B54486">
                <w:pPr>
                  <w:pStyle w:val="Sidehoved"/>
                  <w:tabs>
                    <w:tab w:val="clear" w:pos="4513"/>
                    <w:tab w:val="left" w:pos="4932"/>
                    <w:tab w:val="left" w:pos="5022"/>
                  </w:tabs>
                  <w:ind w:right="-18"/>
                  <w:jc w:val="right"/>
                  <w:rPr>
                    <w:rFonts w:eastAsia="Times New Roman" w:cs="Arial"/>
                    <w:lang w:val="en-US"/>
                  </w:rPr>
                </w:pPr>
                <w:r w:rsidRPr="00A6425A">
                  <w:rPr>
                    <w:rFonts w:eastAsia="Times New Roman" w:cs="Arial"/>
                    <w:lang w:val="en-US"/>
                  </w:rPr>
                  <w:t>CAM NC – consultation response sheet</w:t>
                </w:r>
              </w:p>
              <w:p w:rsidR="00413BB1" w:rsidRPr="00A6425A" w:rsidRDefault="00413BB1" w:rsidP="00B54486">
                <w:pPr>
                  <w:pStyle w:val="Sidehoved"/>
                  <w:tabs>
                    <w:tab w:val="clear" w:pos="4513"/>
                    <w:tab w:val="left" w:pos="4932"/>
                    <w:tab w:val="left" w:pos="5022"/>
                  </w:tabs>
                  <w:ind w:right="-18"/>
                  <w:jc w:val="right"/>
                  <w:rPr>
                    <w:rFonts w:eastAsia="Times New Roman" w:cs="Arial"/>
                    <w:lang w:val="en-US"/>
                  </w:rPr>
                </w:pPr>
                <w:r>
                  <w:rPr>
                    <w:rFonts w:eastAsia="Times New Roman" w:cs="Arial"/>
                    <w:lang w:val="en-US"/>
                  </w:rPr>
                  <w:t xml:space="preserve">       August 3</w:t>
                </w:r>
                <w:r>
                  <w:rPr>
                    <w:rFonts w:eastAsia="Times New Roman" w:cs="Arial"/>
                    <w:vertAlign w:val="superscript"/>
                    <w:lang w:val="en-US"/>
                  </w:rPr>
                  <w:t>rd</w:t>
                </w:r>
                <w:r>
                  <w:rPr>
                    <w:rFonts w:eastAsia="Times New Roman" w:cs="Arial"/>
                    <w:lang w:val="en-US"/>
                  </w:rPr>
                  <w:t>,</w:t>
                </w:r>
                <w:r w:rsidRPr="00A6425A">
                  <w:rPr>
                    <w:rFonts w:eastAsia="Times New Roman" w:cs="Arial"/>
                    <w:lang w:val="en-US"/>
                  </w:rPr>
                  <w:t xml:space="preserve"> 2011 </w:t>
                </w:r>
              </w:p>
              <w:p w:rsidR="00413BB1" w:rsidRPr="00C05500" w:rsidRDefault="00413BB1" w:rsidP="00B54486">
                <w:pPr>
                  <w:jc w:val="right"/>
                  <w:rPr>
                    <w:rFonts w:ascii="Times New Roman" w:eastAsia="Times New Roman" w:hAnsi="Times New Roman"/>
                    <w:noProof/>
                    <w:lang w:val="en-US"/>
                  </w:rPr>
                </w:pPr>
              </w:p>
            </w:tc>
          </w:tr>
        </w:tbl>
        <w:p w:rsidR="00413BB1" w:rsidRPr="00C05500" w:rsidRDefault="00413BB1" w:rsidP="00B54486">
          <w:pPr>
            <w:rPr>
              <w:rFonts w:ascii="Times New Roman" w:eastAsia="Times New Roman" w:hAnsi="Times New Roman"/>
              <w:noProof/>
              <w:lang w:val="en-US"/>
            </w:rPr>
          </w:pPr>
        </w:p>
      </w:tc>
    </w:tr>
  </w:tbl>
  <w:p w:rsidR="00413BB1" w:rsidRPr="00DA0646" w:rsidRDefault="00413BB1" w:rsidP="00DA0646">
    <w:pPr>
      <w:pStyle w:val="Sidehoved"/>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CDD"/>
    <w:multiLevelType w:val="hybridMultilevel"/>
    <w:tmpl w:val="849A7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2F92DFC"/>
    <w:multiLevelType w:val="hybridMultilevel"/>
    <w:tmpl w:val="D0EA4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3044D39"/>
    <w:multiLevelType w:val="hybridMultilevel"/>
    <w:tmpl w:val="0C383626"/>
    <w:lvl w:ilvl="0" w:tplc="F34A0BAC">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F66A1"/>
    <w:multiLevelType w:val="hybridMultilevel"/>
    <w:tmpl w:val="DF9CE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E2A203C"/>
    <w:multiLevelType w:val="hybridMultilevel"/>
    <w:tmpl w:val="620838F6"/>
    <w:lvl w:ilvl="0" w:tplc="055CE8E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45409E3"/>
    <w:multiLevelType w:val="hybridMultilevel"/>
    <w:tmpl w:val="37EE311E"/>
    <w:lvl w:ilvl="0" w:tplc="04090011">
      <w:start w:val="1"/>
      <w:numFmt w:val="decimal"/>
      <w:lvlText w:val="%1)"/>
      <w:lvlJc w:val="left"/>
      <w:pPr>
        <w:ind w:left="1440" w:hanging="360"/>
      </w:pPr>
    </w:lvl>
    <w:lvl w:ilvl="1" w:tplc="A3522916">
      <w:numFmt w:val="bullet"/>
      <w:lvlText w:val="-"/>
      <w:lvlJc w:val="left"/>
      <w:pPr>
        <w:tabs>
          <w:tab w:val="num" w:pos="2160"/>
        </w:tabs>
        <w:ind w:left="2160" w:hanging="360"/>
      </w:pPr>
      <w:rPr>
        <w:rFonts w:ascii="Times New Roman" w:eastAsia="Calibr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D80CD7"/>
    <w:multiLevelType w:val="hybridMultilevel"/>
    <w:tmpl w:val="8020C4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849559E"/>
    <w:multiLevelType w:val="hybridMultilevel"/>
    <w:tmpl w:val="CBB681EC"/>
    <w:lvl w:ilvl="0" w:tplc="EF88BD72">
      <w:start w:val="5"/>
      <w:numFmt w:val="decimal"/>
      <w:lvlText w:val="%1)"/>
      <w:lvlJc w:val="left"/>
      <w:pPr>
        <w:ind w:left="11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BB5397"/>
    <w:multiLevelType w:val="hybridMultilevel"/>
    <w:tmpl w:val="44083FEA"/>
    <w:lvl w:ilvl="0" w:tplc="49B4F61C">
      <w:start w:val="2"/>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16739A"/>
    <w:multiLevelType w:val="hybridMultilevel"/>
    <w:tmpl w:val="DD708FA2"/>
    <w:lvl w:ilvl="0" w:tplc="D6809026">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F006CD7"/>
    <w:multiLevelType w:val="hybridMultilevel"/>
    <w:tmpl w:val="728E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1E386D"/>
    <w:multiLevelType w:val="hybridMultilevel"/>
    <w:tmpl w:val="C436F00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214764EA"/>
    <w:multiLevelType w:val="hybridMultilevel"/>
    <w:tmpl w:val="43462FEC"/>
    <w:lvl w:ilvl="0" w:tplc="9132C1EE">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15A249A"/>
    <w:multiLevelType w:val="hybridMultilevel"/>
    <w:tmpl w:val="AD70273A"/>
    <w:lvl w:ilvl="0" w:tplc="AB7EA6B0">
      <w:start w:val="5"/>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223C68"/>
    <w:multiLevelType w:val="hybridMultilevel"/>
    <w:tmpl w:val="674EB0EC"/>
    <w:lvl w:ilvl="0" w:tplc="5ADC4130">
      <w:start w:val="5"/>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7275D2"/>
    <w:multiLevelType w:val="hybridMultilevel"/>
    <w:tmpl w:val="88024F5E"/>
    <w:lvl w:ilvl="0" w:tplc="EB7473A0">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347BEA"/>
    <w:multiLevelType w:val="hybridMultilevel"/>
    <w:tmpl w:val="11904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93C0E5D"/>
    <w:multiLevelType w:val="hybridMultilevel"/>
    <w:tmpl w:val="544AF310"/>
    <w:lvl w:ilvl="0" w:tplc="16F412FA">
      <w:start w:val="3"/>
      <w:numFmt w:val="decimal"/>
      <w:lvlText w:val="%1)"/>
      <w:lvlJc w:val="left"/>
      <w:pPr>
        <w:tabs>
          <w:tab w:val="num" w:pos="394"/>
        </w:tabs>
        <w:ind w:left="394" w:hanging="360"/>
      </w:pPr>
      <w:rPr>
        <w:rFonts w:hint="default"/>
      </w:rPr>
    </w:lvl>
    <w:lvl w:ilvl="1" w:tplc="16F412FA">
      <w:start w:val="3"/>
      <w:numFmt w:val="decimal"/>
      <w:lvlText w:val="%2)"/>
      <w:lvlJc w:val="left"/>
      <w:pPr>
        <w:tabs>
          <w:tab w:val="num" w:pos="1114"/>
        </w:tabs>
        <w:ind w:left="1114" w:hanging="360"/>
      </w:pPr>
      <w:rPr>
        <w:rFonts w:hint="default"/>
      </w:r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18">
    <w:nsid w:val="2AE41BE7"/>
    <w:multiLevelType w:val="hybridMultilevel"/>
    <w:tmpl w:val="5AE0C446"/>
    <w:lvl w:ilvl="0" w:tplc="09488046">
      <w:start w:val="1"/>
      <w:numFmt w:val="bullet"/>
      <w:lvlText w:val="•"/>
      <w:lvlJc w:val="left"/>
      <w:pPr>
        <w:tabs>
          <w:tab w:val="num" w:pos="360"/>
        </w:tabs>
        <w:ind w:left="360" w:hanging="360"/>
      </w:pPr>
      <w:rPr>
        <w:rFonts w:ascii="Calibri" w:hAnsi="Calibri"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6FD0E768" w:tentative="1">
      <w:start w:val="1"/>
      <w:numFmt w:val="bullet"/>
      <w:lvlText w:val="•"/>
      <w:lvlJc w:val="left"/>
      <w:pPr>
        <w:tabs>
          <w:tab w:val="num" w:pos="1800"/>
        </w:tabs>
        <w:ind w:left="1800" w:hanging="360"/>
      </w:pPr>
      <w:rPr>
        <w:rFonts w:ascii="Calibri" w:hAnsi="Calibri" w:hint="default"/>
      </w:rPr>
    </w:lvl>
    <w:lvl w:ilvl="3" w:tplc="2D86F87E" w:tentative="1">
      <w:start w:val="1"/>
      <w:numFmt w:val="bullet"/>
      <w:lvlText w:val="•"/>
      <w:lvlJc w:val="left"/>
      <w:pPr>
        <w:tabs>
          <w:tab w:val="num" w:pos="2520"/>
        </w:tabs>
        <w:ind w:left="2520" w:hanging="360"/>
      </w:pPr>
      <w:rPr>
        <w:rFonts w:ascii="Calibri" w:hAnsi="Calibri" w:hint="default"/>
      </w:rPr>
    </w:lvl>
    <w:lvl w:ilvl="4" w:tplc="BF2A5176" w:tentative="1">
      <w:start w:val="1"/>
      <w:numFmt w:val="bullet"/>
      <w:lvlText w:val="•"/>
      <w:lvlJc w:val="left"/>
      <w:pPr>
        <w:tabs>
          <w:tab w:val="num" w:pos="3240"/>
        </w:tabs>
        <w:ind w:left="3240" w:hanging="360"/>
      </w:pPr>
      <w:rPr>
        <w:rFonts w:ascii="Calibri" w:hAnsi="Calibri" w:hint="default"/>
      </w:rPr>
    </w:lvl>
    <w:lvl w:ilvl="5" w:tplc="B600BABE" w:tentative="1">
      <w:start w:val="1"/>
      <w:numFmt w:val="bullet"/>
      <w:lvlText w:val="•"/>
      <w:lvlJc w:val="left"/>
      <w:pPr>
        <w:tabs>
          <w:tab w:val="num" w:pos="3960"/>
        </w:tabs>
        <w:ind w:left="3960" w:hanging="360"/>
      </w:pPr>
      <w:rPr>
        <w:rFonts w:ascii="Calibri" w:hAnsi="Calibri" w:hint="default"/>
      </w:rPr>
    </w:lvl>
    <w:lvl w:ilvl="6" w:tplc="7D549FA2" w:tentative="1">
      <w:start w:val="1"/>
      <w:numFmt w:val="bullet"/>
      <w:lvlText w:val="•"/>
      <w:lvlJc w:val="left"/>
      <w:pPr>
        <w:tabs>
          <w:tab w:val="num" w:pos="4680"/>
        </w:tabs>
        <w:ind w:left="4680" w:hanging="360"/>
      </w:pPr>
      <w:rPr>
        <w:rFonts w:ascii="Calibri" w:hAnsi="Calibri" w:hint="default"/>
      </w:rPr>
    </w:lvl>
    <w:lvl w:ilvl="7" w:tplc="B964BDB2" w:tentative="1">
      <w:start w:val="1"/>
      <w:numFmt w:val="bullet"/>
      <w:lvlText w:val="•"/>
      <w:lvlJc w:val="left"/>
      <w:pPr>
        <w:tabs>
          <w:tab w:val="num" w:pos="5400"/>
        </w:tabs>
        <w:ind w:left="5400" w:hanging="360"/>
      </w:pPr>
      <w:rPr>
        <w:rFonts w:ascii="Calibri" w:hAnsi="Calibri" w:hint="default"/>
      </w:rPr>
    </w:lvl>
    <w:lvl w:ilvl="8" w:tplc="F92819C4" w:tentative="1">
      <w:start w:val="1"/>
      <w:numFmt w:val="bullet"/>
      <w:lvlText w:val="•"/>
      <w:lvlJc w:val="left"/>
      <w:pPr>
        <w:tabs>
          <w:tab w:val="num" w:pos="6120"/>
        </w:tabs>
        <w:ind w:left="6120" w:hanging="360"/>
      </w:pPr>
      <w:rPr>
        <w:rFonts w:ascii="Calibri" w:hAnsi="Calibri" w:hint="default"/>
      </w:rPr>
    </w:lvl>
  </w:abstractNum>
  <w:abstractNum w:abstractNumId="19">
    <w:nsid w:val="2EAF277D"/>
    <w:multiLevelType w:val="hybridMultilevel"/>
    <w:tmpl w:val="FDC62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29B2663"/>
    <w:multiLevelType w:val="hybridMultilevel"/>
    <w:tmpl w:val="A5E6E55E"/>
    <w:lvl w:ilvl="0" w:tplc="35FC858A">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06508F"/>
    <w:multiLevelType w:val="hybridMultilevel"/>
    <w:tmpl w:val="972CF3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6800ABE"/>
    <w:multiLevelType w:val="multilevel"/>
    <w:tmpl w:val="604A7D4C"/>
    <w:lvl w:ilvl="0">
      <w:start w:val="4"/>
      <w:numFmt w:val="decimal"/>
      <w:lvlText w:val="%1)"/>
      <w:lvlJc w:val="left"/>
      <w:pPr>
        <w:ind w:left="394" w:hanging="360"/>
      </w:pPr>
      <w:rPr>
        <w:rFonts w:hint="default"/>
      </w:rPr>
    </w:lvl>
    <w:lvl w:ilvl="1">
      <w:start w:val="5"/>
      <w:numFmt w:val="decimal"/>
      <w:lvlText w:val="%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3">
    <w:nsid w:val="3C8A2767"/>
    <w:multiLevelType w:val="multilevel"/>
    <w:tmpl w:val="7C880118"/>
    <w:lvl w:ilvl="0">
      <w:start w:val="4"/>
      <w:numFmt w:val="decimal"/>
      <w:lvlText w:val="%1)"/>
      <w:lvlJc w:val="left"/>
      <w:pPr>
        <w:ind w:left="394" w:hanging="360"/>
      </w:pPr>
      <w:rPr>
        <w:rFonts w:hint="default"/>
      </w:rPr>
    </w:lvl>
    <w:lvl w:ilvl="1">
      <w:start w:val="3"/>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4">
    <w:nsid w:val="41EE7EA6"/>
    <w:multiLevelType w:val="hybridMultilevel"/>
    <w:tmpl w:val="F860251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nsid w:val="43B42282"/>
    <w:multiLevelType w:val="hybridMultilevel"/>
    <w:tmpl w:val="0770A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811068E"/>
    <w:multiLevelType w:val="hybridMultilevel"/>
    <w:tmpl w:val="3258C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99C2982"/>
    <w:multiLevelType w:val="hybridMultilevel"/>
    <w:tmpl w:val="0EBE00F0"/>
    <w:lvl w:ilvl="0" w:tplc="DD6AD8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F844B6"/>
    <w:multiLevelType w:val="hybridMultilevel"/>
    <w:tmpl w:val="B43AA7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E675C8"/>
    <w:multiLevelType w:val="hybridMultilevel"/>
    <w:tmpl w:val="0E2E5F0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E58424F"/>
    <w:multiLevelType w:val="hybridMultilevel"/>
    <w:tmpl w:val="18D03D12"/>
    <w:lvl w:ilvl="0" w:tplc="D0B897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22408C"/>
    <w:multiLevelType w:val="hybridMultilevel"/>
    <w:tmpl w:val="FD9AA484"/>
    <w:lvl w:ilvl="0" w:tplc="C188300C">
      <w:start w:val="1"/>
      <w:numFmt w:val="decimal"/>
      <w:lvlText w:val="%1)"/>
      <w:lvlJc w:val="left"/>
      <w:pPr>
        <w:ind w:left="1114" w:hanging="360"/>
      </w:pPr>
      <w:rPr>
        <w:rFonts w:hint="default"/>
      </w:rPr>
    </w:lvl>
    <w:lvl w:ilvl="1" w:tplc="08090019" w:tentative="1">
      <w:start w:val="1"/>
      <w:numFmt w:val="lowerLetter"/>
      <w:lvlText w:val="%2."/>
      <w:lvlJc w:val="left"/>
      <w:pPr>
        <w:ind w:left="1834" w:hanging="360"/>
      </w:pPr>
    </w:lvl>
    <w:lvl w:ilvl="2" w:tplc="0809001B" w:tentative="1">
      <w:start w:val="1"/>
      <w:numFmt w:val="lowerRoman"/>
      <w:lvlText w:val="%3."/>
      <w:lvlJc w:val="right"/>
      <w:pPr>
        <w:ind w:left="2554" w:hanging="180"/>
      </w:pPr>
    </w:lvl>
    <w:lvl w:ilvl="3" w:tplc="0809000F" w:tentative="1">
      <w:start w:val="1"/>
      <w:numFmt w:val="decimal"/>
      <w:lvlText w:val="%4."/>
      <w:lvlJc w:val="left"/>
      <w:pPr>
        <w:ind w:left="3274" w:hanging="360"/>
      </w:pPr>
    </w:lvl>
    <w:lvl w:ilvl="4" w:tplc="08090019" w:tentative="1">
      <w:start w:val="1"/>
      <w:numFmt w:val="lowerLetter"/>
      <w:lvlText w:val="%5."/>
      <w:lvlJc w:val="left"/>
      <w:pPr>
        <w:ind w:left="3994" w:hanging="360"/>
      </w:pPr>
    </w:lvl>
    <w:lvl w:ilvl="5" w:tplc="0809001B" w:tentative="1">
      <w:start w:val="1"/>
      <w:numFmt w:val="lowerRoman"/>
      <w:lvlText w:val="%6."/>
      <w:lvlJc w:val="right"/>
      <w:pPr>
        <w:ind w:left="4714" w:hanging="180"/>
      </w:pPr>
    </w:lvl>
    <w:lvl w:ilvl="6" w:tplc="0809000F" w:tentative="1">
      <w:start w:val="1"/>
      <w:numFmt w:val="decimal"/>
      <w:lvlText w:val="%7."/>
      <w:lvlJc w:val="left"/>
      <w:pPr>
        <w:ind w:left="5434" w:hanging="360"/>
      </w:pPr>
    </w:lvl>
    <w:lvl w:ilvl="7" w:tplc="08090019" w:tentative="1">
      <w:start w:val="1"/>
      <w:numFmt w:val="lowerLetter"/>
      <w:lvlText w:val="%8."/>
      <w:lvlJc w:val="left"/>
      <w:pPr>
        <w:ind w:left="6154" w:hanging="360"/>
      </w:pPr>
    </w:lvl>
    <w:lvl w:ilvl="8" w:tplc="0809001B" w:tentative="1">
      <w:start w:val="1"/>
      <w:numFmt w:val="lowerRoman"/>
      <w:lvlText w:val="%9."/>
      <w:lvlJc w:val="right"/>
      <w:pPr>
        <w:ind w:left="6874" w:hanging="180"/>
      </w:pPr>
    </w:lvl>
  </w:abstractNum>
  <w:abstractNum w:abstractNumId="32">
    <w:nsid w:val="58D93A48"/>
    <w:multiLevelType w:val="hybridMultilevel"/>
    <w:tmpl w:val="29A06518"/>
    <w:lvl w:ilvl="0" w:tplc="A1DAC1B4">
      <w:start w:val="10"/>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0E861D8"/>
    <w:multiLevelType w:val="hybridMultilevel"/>
    <w:tmpl w:val="F17E153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4">
    <w:nsid w:val="61E553B3"/>
    <w:multiLevelType w:val="hybridMultilevel"/>
    <w:tmpl w:val="69B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57A5783"/>
    <w:multiLevelType w:val="hybridMultilevel"/>
    <w:tmpl w:val="B3125BD2"/>
    <w:lvl w:ilvl="0" w:tplc="17767EE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FD756B9"/>
    <w:multiLevelType w:val="hybridMultilevel"/>
    <w:tmpl w:val="6F1AA8E8"/>
    <w:lvl w:ilvl="0" w:tplc="18668286">
      <w:start w:val="6"/>
      <w:numFmt w:val="decimal"/>
      <w:lvlText w:val="%1)"/>
      <w:lvlJc w:val="left"/>
      <w:pPr>
        <w:ind w:left="394"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77A67FB8"/>
    <w:multiLevelType w:val="multilevel"/>
    <w:tmpl w:val="179622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D9F0970"/>
    <w:multiLevelType w:val="hybridMultilevel"/>
    <w:tmpl w:val="64660E18"/>
    <w:lvl w:ilvl="0" w:tplc="9196C7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A252BD"/>
    <w:multiLevelType w:val="hybridMultilevel"/>
    <w:tmpl w:val="0C383626"/>
    <w:lvl w:ilvl="0" w:tplc="F34A0BA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9"/>
  </w:num>
  <w:num w:numId="3">
    <w:abstractNumId w:val="17"/>
  </w:num>
  <w:num w:numId="4">
    <w:abstractNumId w:val="3"/>
  </w:num>
  <w:num w:numId="5">
    <w:abstractNumId w:val="31"/>
  </w:num>
  <w:num w:numId="6">
    <w:abstractNumId w:val="10"/>
  </w:num>
  <w:num w:numId="7">
    <w:abstractNumId w:val="23"/>
  </w:num>
  <w:num w:numId="8">
    <w:abstractNumId w:val="0"/>
  </w:num>
  <w:num w:numId="9">
    <w:abstractNumId w:val="5"/>
  </w:num>
  <w:num w:numId="10">
    <w:abstractNumId w:val="25"/>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 w:numId="15">
    <w:abstractNumId w:val="28"/>
  </w:num>
  <w:num w:numId="16">
    <w:abstractNumId w:val="37"/>
  </w:num>
  <w:num w:numId="17">
    <w:abstractNumId w:val="29"/>
  </w:num>
  <w:num w:numId="18">
    <w:abstractNumId w:val="36"/>
  </w:num>
  <w:num w:numId="19">
    <w:abstractNumId w:val="21"/>
  </w:num>
  <w:num w:numId="20">
    <w:abstractNumId w:val="4"/>
  </w:num>
  <w:num w:numId="21">
    <w:abstractNumId w:val="34"/>
  </w:num>
  <w:num w:numId="22">
    <w:abstractNumId w:val="18"/>
  </w:num>
  <w:num w:numId="23">
    <w:abstractNumId w:val="22"/>
  </w:num>
  <w:num w:numId="24">
    <w:abstractNumId w:val="1"/>
  </w:num>
  <w:num w:numId="25">
    <w:abstractNumId w:val="7"/>
  </w:num>
  <w:num w:numId="26">
    <w:abstractNumId w:val="14"/>
  </w:num>
  <w:num w:numId="27">
    <w:abstractNumId w:val="20"/>
  </w:num>
  <w:num w:numId="28">
    <w:abstractNumId w:val="2"/>
  </w:num>
  <w:num w:numId="29">
    <w:abstractNumId w:val="32"/>
  </w:num>
  <w:num w:numId="30">
    <w:abstractNumId w:val="27"/>
  </w:num>
  <w:num w:numId="31">
    <w:abstractNumId w:val="15"/>
  </w:num>
  <w:num w:numId="32">
    <w:abstractNumId w:val="35"/>
  </w:num>
  <w:num w:numId="33">
    <w:abstractNumId w:val="8"/>
  </w:num>
  <w:num w:numId="34">
    <w:abstractNumId w:val="12"/>
  </w:num>
  <w:num w:numId="35">
    <w:abstractNumId w:val="39"/>
  </w:num>
  <w:num w:numId="36">
    <w:abstractNumId w:val="38"/>
  </w:num>
  <w:num w:numId="37">
    <w:abstractNumId w:val="13"/>
  </w:num>
  <w:num w:numId="38">
    <w:abstractNumId w:val="26"/>
  </w:num>
  <w:num w:numId="39">
    <w:abstractNumId w:val="30"/>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3CF5"/>
    <w:rsid w:val="00000883"/>
    <w:rsid w:val="0000200D"/>
    <w:rsid w:val="00004133"/>
    <w:rsid w:val="00004E61"/>
    <w:rsid w:val="00004F4C"/>
    <w:rsid w:val="00005E91"/>
    <w:rsid w:val="000065C9"/>
    <w:rsid w:val="00006A73"/>
    <w:rsid w:val="00006D20"/>
    <w:rsid w:val="00007232"/>
    <w:rsid w:val="00007429"/>
    <w:rsid w:val="00007879"/>
    <w:rsid w:val="000122AE"/>
    <w:rsid w:val="00013C58"/>
    <w:rsid w:val="000144F3"/>
    <w:rsid w:val="00014A86"/>
    <w:rsid w:val="00015218"/>
    <w:rsid w:val="00020691"/>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6A5"/>
    <w:rsid w:val="000379AC"/>
    <w:rsid w:val="00040D17"/>
    <w:rsid w:val="00040DB5"/>
    <w:rsid w:val="00041229"/>
    <w:rsid w:val="00043374"/>
    <w:rsid w:val="00043441"/>
    <w:rsid w:val="00043E10"/>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7B0D"/>
    <w:rsid w:val="00057F40"/>
    <w:rsid w:val="000605B7"/>
    <w:rsid w:val="000618C4"/>
    <w:rsid w:val="0006310C"/>
    <w:rsid w:val="000633FA"/>
    <w:rsid w:val="00064152"/>
    <w:rsid w:val="00065879"/>
    <w:rsid w:val="0006768D"/>
    <w:rsid w:val="00070063"/>
    <w:rsid w:val="000700B9"/>
    <w:rsid w:val="000702CA"/>
    <w:rsid w:val="00070AD2"/>
    <w:rsid w:val="000724D9"/>
    <w:rsid w:val="00073A5E"/>
    <w:rsid w:val="00074778"/>
    <w:rsid w:val="00074E5C"/>
    <w:rsid w:val="00075022"/>
    <w:rsid w:val="00075496"/>
    <w:rsid w:val="00076286"/>
    <w:rsid w:val="00076BEA"/>
    <w:rsid w:val="00077071"/>
    <w:rsid w:val="00077B1F"/>
    <w:rsid w:val="00080082"/>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48FD"/>
    <w:rsid w:val="00094A66"/>
    <w:rsid w:val="00095F8D"/>
    <w:rsid w:val="0009697F"/>
    <w:rsid w:val="00096AC4"/>
    <w:rsid w:val="000A03AB"/>
    <w:rsid w:val="000A07BA"/>
    <w:rsid w:val="000A1267"/>
    <w:rsid w:val="000A23C1"/>
    <w:rsid w:val="000A3F50"/>
    <w:rsid w:val="000A42B3"/>
    <w:rsid w:val="000A4388"/>
    <w:rsid w:val="000A4399"/>
    <w:rsid w:val="000A45AA"/>
    <w:rsid w:val="000A6A1E"/>
    <w:rsid w:val="000A7380"/>
    <w:rsid w:val="000A7E2E"/>
    <w:rsid w:val="000B18E6"/>
    <w:rsid w:val="000B2F43"/>
    <w:rsid w:val="000B33BD"/>
    <w:rsid w:val="000B3A8E"/>
    <w:rsid w:val="000B3B49"/>
    <w:rsid w:val="000B4F1E"/>
    <w:rsid w:val="000B6DDA"/>
    <w:rsid w:val="000B71CD"/>
    <w:rsid w:val="000C114A"/>
    <w:rsid w:val="000C1220"/>
    <w:rsid w:val="000C14DD"/>
    <w:rsid w:val="000C16A3"/>
    <w:rsid w:val="000C16B3"/>
    <w:rsid w:val="000C238D"/>
    <w:rsid w:val="000C2B5E"/>
    <w:rsid w:val="000C3299"/>
    <w:rsid w:val="000C3840"/>
    <w:rsid w:val="000C4FAF"/>
    <w:rsid w:val="000C5E27"/>
    <w:rsid w:val="000C6C53"/>
    <w:rsid w:val="000C6CF5"/>
    <w:rsid w:val="000D1791"/>
    <w:rsid w:val="000D250F"/>
    <w:rsid w:val="000D2C6F"/>
    <w:rsid w:val="000D30D7"/>
    <w:rsid w:val="000D33DC"/>
    <w:rsid w:val="000D3655"/>
    <w:rsid w:val="000D3F94"/>
    <w:rsid w:val="000D7285"/>
    <w:rsid w:val="000E0E4E"/>
    <w:rsid w:val="000E0E8E"/>
    <w:rsid w:val="000E18B7"/>
    <w:rsid w:val="000E1935"/>
    <w:rsid w:val="000E1AD9"/>
    <w:rsid w:val="000E2487"/>
    <w:rsid w:val="000E3422"/>
    <w:rsid w:val="000E34C5"/>
    <w:rsid w:val="000E378B"/>
    <w:rsid w:val="000E41D4"/>
    <w:rsid w:val="000E43DD"/>
    <w:rsid w:val="000E44D3"/>
    <w:rsid w:val="000E4564"/>
    <w:rsid w:val="000E4751"/>
    <w:rsid w:val="000E4D82"/>
    <w:rsid w:val="000E5067"/>
    <w:rsid w:val="000E5B33"/>
    <w:rsid w:val="000E6944"/>
    <w:rsid w:val="000E6FA0"/>
    <w:rsid w:val="000E7A89"/>
    <w:rsid w:val="000E7E23"/>
    <w:rsid w:val="000F0914"/>
    <w:rsid w:val="000F0D09"/>
    <w:rsid w:val="000F5F1F"/>
    <w:rsid w:val="000F603F"/>
    <w:rsid w:val="000F62CD"/>
    <w:rsid w:val="00100A10"/>
    <w:rsid w:val="00100F75"/>
    <w:rsid w:val="00101075"/>
    <w:rsid w:val="00102AE5"/>
    <w:rsid w:val="001032C0"/>
    <w:rsid w:val="001033B4"/>
    <w:rsid w:val="0010370D"/>
    <w:rsid w:val="00103AB3"/>
    <w:rsid w:val="0010402E"/>
    <w:rsid w:val="001054FC"/>
    <w:rsid w:val="00105713"/>
    <w:rsid w:val="00105C56"/>
    <w:rsid w:val="00105C7B"/>
    <w:rsid w:val="00105E0F"/>
    <w:rsid w:val="00105F54"/>
    <w:rsid w:val="00106698"/>
    <w:rsid w:val="00106EBE"/>
    <w:rsid w:val="00107861"/>
    <w:rsid w:val="00107C4F"/>
    <w:rsid w:val="0011023A"/>
    <w:rsid w:val="00110C83"/>
    <w:rsid w:val="00110FDD"/>
    <w:rsid w:val="001111EC"/>
    <w:rsid w:val="00111671"/>
    <w:rsid w:val="0011182C"/>
    <w:rsid w:val="0011293A"/>
    <w:rsid w:val="00112A7A"/>
    <w:rsid w:val="00114001"/>
    <w:rsid w:val="00114296"/>
    <w:rsid w:val="00115D14"/>
    <w:rsid w:val="00116AA4"/>
    <w:rsid w:val="0012129A"/>
    <w:rsid w:val="00121CFF"/>
    <w:rsid w:val="00122C37"/>
    <w:rsid w:val="00123815"/>
    <w:rsid w:val="00124D46"/>
    <w:rsid w:val="00125566"/>
    <w:rsid w:val="00127D12"/>
    <w:rsid w:val="0013404D"/>
    <w:rsid w:val="0013539D"/>
    <w:rsid w:val="001371FB"/>
    <w:rsid w:val="001404A4"/>
    <w:rsid w:val="00140692"/>
    <w:rsid w:val="00140999"/>
    <w:rsid w:val="00140A26"/>
    <w:rsid w:val="001432CE"/>
    <w:rsid w:val="001435A2"/>
    <w:rsid w:val="001436E9"/>
    <w:rsid w:val="00144664"/>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5671"/>
    <w:rsid w:val="00155E87"/>
    <w:rsid w:val="00156B9F"/>
    <w:rsid w:val="00157CCD"/>
    <w:rsid w:val="001605CC"/>
    <w:rsid w:val="00161688"/>
    <w:rsid w:val="00162101"/>
    <w:rsid w:val="00164281"/>
    <w:rsid w:val="00164F24"/>
    <w:rsid w:val="0016598A"/>
    <w:rsid w:val="00166357"/>
    <w:rsid w:val="001666AE"/>
    <w:rsid w:val="0016724D"/>
    <w:rsid w:val="00167902"/>
    <w:rsid w:val="00167A19"/>
    <w:rsid w:val="0017292B"/>
    <w:rsid w:val="00173503"/>
    <w:rsid w:val="001739BD"/>
    <w:rsid w:val="00173DB5"/>
    <w:rsid w:val="0017639A"/>
    <w:rsid w:val="001774DF"/>
    <w:rsid w:val="00180979"/>
    <w:rsid w:val="001822CA"/>
    <w:rsid w:val="0018249C"/>
    <w:rsid w:val="00182EA8"/>
    <w:rsid w:val="00184542"/>
    <w:rsid w:val="00185610"/>
    <w:rsid w:val="00185D32"/>
    <w:rsid w:val="00185F98"/>
    <w:rsid w:val="00186974"/>
    <w:rsid w:val="00190332"/>
    <w:rsid w:val="0019033B"/>
    <w:rsid w:val="0019043E"/>
    <w:rsid w:val="0019075A"/>
    <w:rsid w:val="001915F9"/>
    <w:rsid w:val="00193335"/>
    <w:rsid w:val="001938D6"/>
    <w:rsid w:val="00193AF3"/>
    <w:rsid w:val="00194061"/>
    <w:rsid w:val="001945D6"/>
    <w:rsid w:val="00194E03"/>
    <w:rsid w:val="00194E49"/>
    <w:rsid w:val="00195449"/>
    <w:rsid w:val="00195CE3"/>
    <w:rsid w:val="00195E55"/>
    <w:rsid w:val="00196B77"/>
    <w:rsid w:val="001972E4"/>
    <w:rsid w:val="0019769C"/>
    <w:rsid w:val="001A0017"/>
    <w:rsid w:val="001A2EA4"/>
    <w:rsid w:val="001A50EB"/>
    <w:rsid w:val="001A5C00"/>
    <w:rsid w:val="001A7D49"/>
    <w:rsid w:val="001A7E18"/>
    <w:rsid w:val="001A7F0A"/>
    <w:rsid w:val="001B096E"/>
    <w:rsid w:val="001B0DDE"/>
    <w:rsid w:val="001B146E"/>
    <w:rsid w:val="001B1892"/>
    <w:rsid w:val="001B2BBD"/>
    <w:rsid w:val="001B3096"/>
    <w:rsid w:val="001B33AD"/>
    <w:rsid w:val="001B3D80"/>
    <w:rsid w:val="001B4D42"/>
    <w:rsid w:val="001B6257"/>
    <w:rsid w:val="001B62FA"/>
    <w:rsid w:val="001B7930"/>
    <w:rsid w:val="001B7D34"/>
    <w:rsid w:val="001B7EF4"/>
    <w:rsid w:val="001B7F58"/>
    <w:rsid w:val="001C0678"/>
    <w:rsid w:val="001C07FF"/>
    <w:rsid w:val="001C1093"/>
    <w:rsid w:val="001C2116"/>
    <w:rsid w:val="001C3736"/>
    <w:rsid w:val="001C3B98"/>
    <w:rsid w:val="001C4B25"/>
    <w:rsid w:val="001C4B68"/>
    <w:rsid w:val="001C4E25"/>
    <w:rsid w:val="001C5469"/>
    <w:rsid w:val="001C5AD9"/>
    <w:rsid w:val="001C610F"/>
    <w:rsid w:val="001C6D27"/>
    <w:rsid w:val="001C6EE6"/>
    <w:rsid w:val="001C7930"/>
    <w:rsid w:val="001C7ADE"/>
    <w:rsid w:val="001C7C32"/>
    <w:rsid w:val="001D0EEE"/>
    <w:rsid w:val="001D154A"/>
    <w:rsid w:val="001D1CBB"/>
    <w:rsid w:val="001D1EB6"/>
    <w:rsid w:val="001D3A34"/>
    <w:rsid w:val="001D5501"/>
    <w:rsid w:val="001D6DC3"/>
    <w:rsid w:val="001D7609"/>
    <w:rsid w:val="001E0888"/>
    <w:rsid w:val="001E0BF9"/>
    <w:rsid w:val="001E10BE"/>
    <w:rsid w:val="001E11B3"/>
    <w:rsid w:val="001E2E42"/>
    <w:rsid w:val="001E33D6"/>
    <w:rsid w:val="001E41B8"/>
    <w:rsid w:val="001E4D24"/>
    <w:rsid w:val="001E522C"/>
    <w:rsid w:val="001E606E"/>
    <w:rsid w:val="001E6802"/>
    <w:rsid w:val="001E6C5E"/>
    <w:rsid w:val="001E6D1E"/>
    <w:rsid w:val="001E6E48"/>
    <w:rsid w:val="001E7069"/>
    <w:rsid w:val="001E74C9"/>
    <w:rsid w:val="001F11DD"/>
    <w:rsid w:val="001F1C02"/>
    <w:rsid w:val="001F22CA"/>
    <w:rsid w:val="001F32D8"/>
    <w:rsid w:val="001F4DAC"/>
    <w:rsid w:val="001F5539"/>
    <w:rsid w:val="001F6AF2"/>
    <w:rsid w:val="001F6BED"/>
    <w:rsid w:val="001F7D2C"/>
    <w:rsid w:val="0020000E"/>
    <w:rsid w:val="0020173E"/>
    <w:rsid w:val="00201A68"/>
    <w:rsid w:val="002020AD"/>
    <w:rsid w:val="00202B66"/>
    <w:rsid w:val="00203BCB"/>
    <w:rsid w:val="00204EBB"/>
    <w:rsid w:val="00205018"/>
    <w:rsid w:val="00205037"/>
    <w:rsid w:val="00206999"/>
    <w:rsid w:val="00207A4E"/>
    <w:rsid w:val="002100D0"/>
    <w:rsid w:val="00210B94"/>
    <w:rsid w:val="00211A20"/>
    <w:rsid w:val="00212E10"/>
    <w:rsid w:val="002134A2"/>
    <w:rsid w:val="00213665"/>
    <w:rsid w:val="00213D14"/>
    <w:rsid w:val="00214BAC"/>
    <w:rsid w:val="00215D1B"/>
    <w:rsid w:val="00216844"/>
    <w:rsid w:val="00222CB8"/>
    <w:rsid w:val="002238FF"/>
    <w:rsid w:val="00224CE8"/>
    <w:rsid w:val="0023021D"/>
    <w:rsid w:val="002308CC"/>
    <w:rsid w:val="00232FA4"/>
    <w:rsid w:val="0023348B"/>
    <w:rsid w:val="0023496F"/>
    <w:rsid w:val="00234EE0"/>
    <w:rsid w:val="002350C5"/>
    <w:rsid w:val="0023591C"/>
    <w:rsid w:val="00237681"/>
    <w:rsid w:val="00237781"/>
    <w:rsid w:val="00237E06"/>
    <w:rsid w:val="0024029C"/>
    <w:rsid w:val="00240E32"/>
    <w:rsid w:val="00241EBB"/>
    <w:rsid w:val="0024265F"/>
    <w:rsid w:val="00244BEB"/>
    <w:rsid w:val="00245AF3"/>
    <w:rsid w:val="00245EDA"/>
    <w:rsid w:val="002501FC"/>
    <w:rsid w:val="0025072D"/>
    <w:rsid w:val="002527D3"/>
    <w:rsid w:val="00252835"/>
    <w:rsid w:val="00252A4E"/>
    <w:rsid w:val="002547AE"/>
    <w:rsid w:val="00254C6E"/>
    <w:rsid w:val="002555E9"/>
    <w:rsid w:val="00255917"/>
    <w:rsid w:val="00255BCD"/>
    <w:rsid w:val="00255D58"/>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5CC7"/>
    <w:rsid w:val="002764AE"/>
    <w:rsid w:val="002767D1"/>
    <w:rsid w:val="002769DE"/>
    <w:rsid w:val="00276C61"/>
    <w:rsid w:val="0027769A"/>
    <w:rsid w:val="00280926"/>
    <w:rsid w:val="00282F5C"/>
    <w:rsid w:val="002835BB"/>
    <w:rsid w:val="00285624"/>
    <w:rsid w:val="0028627C"/>
    <w:rsid w:val="00287EC3"/>
    <w:rsid w:val="0029070C"/>
    <w:rsid w:val="00290AFE"/>
    <w:rsid w:val="00291037"/>
    <w:rsid w:val="00292D2D"/>
    <w:rsid w:val="0029378C"/>
    <w:rsid w:val="002938E6"/>
    <w:rsid w:val="00293B3E"/>
    <w:rsid w:val="00294C4B"/>
    <w:rsid w:val="0029546D"/>
    <w:rsid w:val="002970A6"/>
    <w:rsid w:val="002971B1"/>
    <w:rsid w:val="00297541"/>
    <w:rsid w:val="00297DA9"/>
    <w:rsid w:val="00297FA4"/>
    <w:rsid w:val="002A077E"/>
    <w:rsid w:val="002A0AE6"/>
    <w:rsid w:val="002A0BE1"/>
    <w:rsid w:val="002A16CB"/>
    <w:rsid w:val="002A174C"/>
    <w:rsid w:val="002A1F2A"/>
    <w:rsid w:val="002A2F97"/>
    <w:rsid w:val="002A3C99"/>
    <w:rsid w:val="002A3CA0"/>
    <w:rsid w:val="002A5754"/>
    <w:rsid w:val="002A5AB3"/>
    <w:rsid w:val="002A5FA7"/>
    <w:rsid w:val="002A63E4"/>
    <w:rsid w:val="002A705E"/>
    <w:rsid w:val="002A78D1"/>
    <w:rsid w:val="002A7ED0"/>
    <w:rsid w:val="002B01CD"/>
    <w:rsid w:val="002B0513"/>
    <w:rsid w:val="002B08AE"/>
    <w:rsid w:val="002B1339"/>
    <w:rsid w:val="002B2690"/>
    <w:rsid w:val="002B2FC7"/>
    <w:rsid w:val="002B525A"/>
    <w:rsid w:val="002B5A74"/>
    <w:rsid w:val="002B67CA"/>
    <w:rsid w:val="002C0232"/>
    <w:rsid w:val="002C1C02"/>
    <w:rsid w:val="002C1F96"/>
    <w:rsid w:val="002C27DF"/>
    <w:rsid w:val="002C3E9C"/>
    <w:rsid w:val="002C47D6"/>
    <w:rsid w:val="002C5066"/>
    <w:rsid w:val="002C5DBF"/>
    <w:rsid w:val="002C5DEF"/>
    <w:rsid w:val="002C6357"/>
    <w:rsid w:val="002C752F"/>
    <w:rsid w:val="002C7D33"/>
    <w:rsid w:val="002C7D77"/>
    <w:rsid w:val="002D0F1D"/>
    <w:rsid w:val="002D13BE"/>
    <w:rsid w:val="002D2429"/>
    <w:rsid w:val="002D2BD7"/>
    <w:rsid w:val="002D31B6"/>
    <w:rsid w:val="002D421C"/>
    <w:rsid w:val="002D4932"/>
    <w:rsid w:val="002D4BD8"/>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D2E"/>
    <w:rsid w:val="002F1340"/>
    <w:rsid w:val="002F1599"/>
    <w:rsid w:val="002F1679"/>
    <w:rsid w:val="002F17E6"/>
    <w:rsid w:val="002F1A7E"/>
    <w:rsid w:val="002F1F25"/>
    <w:rsid w:val="002F269E"/>
    <w:rsid w:val="002F3A89"/>
    <w:rsid w:val="002F46A7"/>
    <w:rsid w:val="002F52BF"/>
    <w:rsid w:val="002F5885"/>
    <w:rsid w:val="002F6921"/>
    <w:rsid w:val="002F7366"/>
    <w:rsid w:val="002F737A"/>
    <w:rsid w:val="002F7809"/>
    <w:rsid w:val="002F7CE6"/>
    <w:rsid w:val="003014FF"/>
    <w:rsid w:val="0030157D"/>
    <w:rsid w:val="003023C5"/>
    <w:rsid w:val="00302449"/>
    <w:rsid w:val="0030315E"/>
    <w:rsid w:val="00303FBD"/>
    <w:rsid w:val="0030496E"/>
    <w:rsid w:val="003050CC"/>
    <w:rsid w:val="003053BB"/>
    <w:rsid w:val="00305DF4"/>
    <w:rsid w:val="00306C53"/>
    <w:rsid w:val="003071F1"/>
    <w:rsid w:val="003077B1"/>
    <w:rsid w:val="00310E90"/>
    <w:rsid w:val="0031252B"/>
    <w:rsid w:val="003131B5"/>
    <w:rsid w:val="00315E38"/>
    <w:rsid w:val="003167CC"/>
    <w:rsid w:val="003172C3"/>
    <w:rsid w:val="003200CA"/>
    <w:rsid w:val="00320992"/>
    <w:rsid w:val="003209D2"/>
    <w:rsid w:val="00321F38"/>
    <w:rsid w:val="00323F2E"/>
    <w:rsid w:val="00324C07"/>
    <w:rsid w:val="0032560F"/>
    <w:rsid w:val="003259D2"/>
    <w:rsid w:val="0032601A"/>
    <w:rsid w:val="003274D9"/>
    <w:rsid w:val="003302D2"/>
    <w:rsid w:val="00331E84"/>
    <w:rsid w:val="003322E2"/>
    <w:rsid w:val="00332C31"/>
    <w:rsid w:val="00333DAB"/>
    <w:rsid w:val="00333E2E"/>
    <w:rsid w:val="00333EDC"/>
    <w:rsid w:val="00334116"/>
    <w:rsid w:val="00335193"/>
    <w:rsid w:val="00335742"/>
    <w:rsid w:val="00335CC4"/>
    <w:rsid w:val="0033604C"/>
    <w:rsid w:val="00336802"/>
    <w:rsid w:val="00336872"/>
    <w:rsid w:val="00341FB3"/>
    <w:rsid w:val="003434DE"/>
    <w:rsid w:val="003437CF"/>
    <w:rsid w:val="00344977"/>
    <w:rsid w:val="00344D43"/>
    <w:rsid w:val="00345CD8"/>
    <w:rsid w:val="003461B2"/>
    <w:rsid w:val="00346485"/>
    <w:rsid w:val="0034702E"/>
    <w:rsid w:val="00347171"/>
    <w:rsid w:val="00347604"/>
    <w:rsid w:val="003476BD"/>
    <w:rsid w:val="00347F0D"/>
    <w:rsid w:val="00350BDF"/>
    <w:rsid w:val="00351583"/>
    <w:rsid w:val="003526A9"/>
    <w:rsid w:val="0035279B"/>
    <w:rsid w:val="00352D16"/>
    <w:rsid w:val="00353492"/>
    <w:rsid w:val="003548CC"/>
    <w:rsid w:val="00354F4A"/>
    <w:rsid w:val="00355A3D"/>
    <w:rsid w:val="00355B17"/>
    <w:rsid w:val="00356764"/>
    <w:rsid w:val="00356AB6"/>
    <w:rsid w:val="0036036D"/>
    <w:rsid w:val="00360847"/>
    <w:rsid w:val="00361370"/>
    <w:rsid w:val="003614AF"/>
    <w:rsid w:val="003620FB"/>
    <w:rsid w:val="00363877"/>
    <w:rsid w:val="00364A26"/>
    <w:rsid w:val="003660EF"/>
    <w:rsid w:val="00370E76"/>
    <w:rsid w:val="00371FAE"/>
    <w:rsid w:val="00374AF5"/>
    <w:rsid w:val="00375A9D"/>
    <w:rsid w:val="00375B0D"/>
    <w:rsid w:val="0037601A"/>
    <w:rsid w:val="00376793"/>
    <w:rsid w:val="003800FC"/>
    <w:rsid w:val="00380A2B"/>
    <w:rsid w:val="003810B3"/>
    <w:rsid w:val="003817EC"/>
    <w:rsid w:val="00381846"/>
    <w:rsid w:val="00382035"/>
    <w:rsid w:val="003821B9"/>
    <w:rsid w:val="00382C92"/>
    <w:rsid w:val="00382FC7"/>
    <w:rsid w:val="003839E7"/>
    <w:rsid w:val="003847EF"/>
    <w:rsid w:val="003856B9"/>
    <w:rsid w:val="00386127"/>
    <w:rsid w:val="00386183"/>
    <w:rsid w:val="0038623C"/>
    <w:rsid w:val="00387C73"/>
    <w:rsid w:val="003919B4"/>
    <w:rsid w:val="00391B0C"/>
    <w:rsid w:val="00391B75"/>
    <w:rsid w:val="00393ACB"/>
    <w:rsid w:val="00394F40"/>
    <w:rsid w:val="003952CC"/>
    <w:rsid w:val="00395595"/>
    <w:rsid w:val="00395DFC"/>
    <w:rsid w:val="003961DF"/>
    <w:rsid w:val="00396576"/>
    <w:rsid w:val="003A09F9"/>
    <w:rsid w:val="003A37B3"/>
    <w:rsid w:val="003A3E82"/>
    <w:rsid w:val="003A4336"/>
    <w:rsid w:val="003A588E"/>
    <w:rsid w:val="003A5B56"/>
    <w:rsid w:val="003A69B9"/>
    <w:rsid w:val="003A6A9C"/>
    <w:rsid w:val="003A6BB2"/>
    <w:rsid w:val="003A73F0"/>
    <w:rsid w:val="003B2B9A"/>
    <w:rsid w:val="003B35A6"/>
    <w:rsid w:val="003B49B8"/>
    <w:rsid w:val="003B60F9"/>
    <w:rsid w:val="003C04A6"/>
    <w:rsid w:val="003C06BF"/>
    <w:rsid w:val="003C0895"/>
    <w:rsid w:val="003C5837"/>
    <w:rsid w:val="003C6227"/>
    <w:rsid w:val="003C6A2E"/>
    <w:rsid w:val="003D007E"/>
    <w:rsid w:val="003D0AAF"/>
    <w:rsid w:val="003D174E"/>
    <w:rsid w:val="003D222D"/>
    <w:rsid w:val="003D2685"/>
    <w:rsid w:val="003D2C69"/>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FBB"/>
    <w:rsid w:val="003F6153"/>
    <w:rsid w:val="003F6962"/>
    <w:rsid w:val="003F72AB"/>
    <w:rsid w:val="0040015D"/>
    <w:rsid w:val="00400B8C"/>
    <w:rsid w:val="00400B94"/>
    <w:rsid w:val="00401511"/>
    <w:rsid w:val="004018CF"/>
    <w:rsid w:val="00402119"/>
    <w:rsid w:val="00402CC3"/>
    <w:rsid w:val="0040329A"/>
    <w:rsid w:val="004032D0"/>
    <w:rsid w:val="004036ED"/>
    <w:rsid w:val="00403927"/>
    <w:rsid w:val="0040495A"/>
    <w:rsid w:val="00405B7A"/>
    <w:rsid w:val="0040688B"/>
    <w:rsid w:val="00407CDA"/>
    <w:rsid w:val="00410FD2"/>
    <w:rsid w:val="00411170"/>
    <w:rsid w:val="0041209C"/>
    <w:rsid w:val="00412369"/>
    <w:rsid w:val="0041271B"/>
    <w:rsid w:val="004133D2"/>
    <w:rsid w:val="00413AAF"/>
    <w:rsid w:val="00413BB1"/>
    <w:rsid w:val="00413C6A"/>
    <w:rsid w:val="00413F83"/>
    <w:rsid w:val="004154F4"/>
    <w:rsid w:val="00416243"/>
    <w:rsid w:val="00416283"/>
    <w:rsid w:val="00416C3C"/>
    <w:rsid w:val="004171EB"/>
    <w:rsid w:val="00417447"/>
    <w:rsid w:val="004175CA"/>
    <w:rsid w:val="004178D9"/>
    <w:rsid w:val="00417AB5"/>
    <w:rsid w:val="00417DBF"/>
    <w:rsid w:val="00422B1F"/>
    <w:rsid w:val="00423DB6"/>
    <w:rsid w:val="0042598D"/>
    <w:rsid w:val="00426DD3"/>
    <w:rsid w:val="004321D0"/>
    <w:rsid w:val="004346F7"/>
    <w:rsid w:val="004372FF"/>
    <w:rsid w:val="0043781A"/>
    <w:rsid w:val="0044067A"/>
    <w:rsid w:val="00440C5A"/>
    <w:rsid w:val="00441601"/>
    <w:rsid w:val="00441DB4"/>
    <w:rsid w:val="004429C5"/>
    <w:rsid w:val="004435C1"/>
    <w:rsid w:val="004506B7"/>
    <w:rsid w:val="004544A0"/>
    <w:rsid w:val="0045474B"/>
    <w:rsid w:val="004548F9"/>
    <w:rsid w:val="004550C7"/>
    <w:rsid w:val="00455161"/>
    <w:rsid w:val="00456B50"/>
    <w:rsid w:val="00457B4B"/>
    <w:rsid w:val="0046133C"/>
    <w:rsid w:val="0046150C"/>
    <w:rsid w:val="00461C57"/>
    <w:rsid w:val="00462DBD"/>
    <w:rsid w:val="00462EE6"/>
    <w:rsid w:val="0046301A"/>
    <w:rsid w:val="004630B0"/>
    <w:rsid w:val="004631C1"/>
    <w:rsid w:val="00463856"/>
    <w:rsid w:val="0046492B"/>
    <w:rsid w:val="00464CDD"/>
    <w:rsid w:val="004651DF"/>
    <w:rsid w:val="0046612E"/>
    <w:rsid w:val="004667E7"/>
    <w:rsid w:val="00471789"/>
    <w:rsid w:val="00473740"/>
    <w:rsid w:val="00474EF8"/>
    <w:rsid w:val="00475D47"/>
    <w:rsid w:val="00475E18"/>
    <w:rsid w:val="00475E50"/>
    <w:rsid w:val="00476F54"/>
    <w:rsid w:val="00480451"/>
    <w:rsid w:val="00480B65"/>
    <w:rsid w:val="00483728"/>
    <w:rsid w:val="00483F82"/>
    <w:rsid w:val="00483FAD"/>
    <w:rsid w:val="00484282"/>
    <w:rsid w:val="00484CB8"/>
    <w:rsid w:val="00485007"/>
    <w:rsid w:val="00485D2D"/>
    <w:rsid w:val="00486302"/>
    <w:rsid w:val="00486562"/>
    <w:rsid w:val="00486F8F"/>
    <w:rsid w:val="0048720C"/>
    <w:rsid w:val="00487900"/>
    <w:rsid w:val="00490AC3"/>
    <w:rsid w:val="00491CA6"/>
    <w:rsid w:val="0049294F"/>
    <w:rsid w:val="00493B1E"/>
    <w:rsid w:val="0049562C"/>
    <w:rsid w:val="00496211"/>
    <w:rsid w:val="004969CE"/>
    <w:rsid w:val="00497179"/>
    <w:rsid w:val="004A07B8"/>
    <w:rsid w:val="004A23B7"/>
    <w:rsid w:val="004A254E"/>
    <w:rsid w:val="004A25B2"/>
    <w:rsid w:val="004A4166"/>
    <w:rsid w:val="004A4959"/>
    <w:rsid w:val="004A5F65"/>
    <w:rsid w:val="004A6843"/>
    <w:rsid w:val="004A6DF7"/>
    <w:rsid w:val="004A7912"/>
    <w:rsid w:val="004B04C9"/>
    <w:rsid w:val="004B0E84"/>
    <w:rsid w:val="004B2BAE"/>
    <w:rsid w:val="004B4E71"/>
    <w:rsid w:val="004B50C8"/>
    <w:rsid w:val="004B51AE"/>
    <w:rsid w:val="004B5CC1"/>
    <w:rsid w:val="004B6D84"/>
    <w:rsid w:val="004B7A58"/>
    <w:rsid w:val="004C059C"/>
    <w:rsid w:val="004C0CB3"/>
    <w:rsid w:val="004C1691"/>
    <w:rsid w:val="004C2E79"/>
    <w:rsid w:val="004C344D"/>
    <w:rsid w:val="004C69CF"/>
    <w:rsid w:val="004C6AE6"/>
    <w:rsid w:val="004C75C0"/>
    <w:rsid w:val="004D0C73"/>
    <w:rsid w:val="004D12BF"/>
    <w:rsid w:val="004D1832"/>
    <w:rsid w:val="004D1C51"/>
    <w:rsid w:val="004D371E"/>
    <w:rsid w:val="004D5926"/>
    <w:rsid w:val="004D6335"/>
    <w:rsid w:val="004D75CB"/>
    <w:rsid w:val="004E10A2"/>
    <w:rsid w:val="004E126F"/>
    <w:rsid w:val="004E1B21"/>
    <w:rsid w:val="004E1E12"/>
    <w:rsid w:val="004E3D42"/>
    <w:rsid w:val="004E4098"/>
    <w:rsid w:val="004E45FD"/>
    <w:rsid w:val="004E50FB"/>
    <w:rsid w:val="004E6249"/>
    <w:rsid w:val="004F1956"/>
    <w:rsid w:val="004F203F"/>
    <w:rsid w:val="004F445D"/>
    <w:rsid w:val="0050021B"/>
    <w:rsid w:val="005019D2"/>
    <w:rsid w:val="00501F1C"/>
    <w:rsid w:val="00503BD2"/>
    <w:rsid w:val="00507983"/>
    <w:rsid w:val="005115C6"/>
    <w:rsid w:val="005118A5"/>
    <w:rsid w:val="005118B3"/>
    <w:rsid w:val="005118D2"/>
    <w:rsid w:val="0051263E"/>
    <w:rsid w:val="00512899"/>
    <w:rsid w:val="005167CC"/>
    <w:rsid w:val="00516A43"/>
    <w:rsid w:val="00517B3E"/>
    <w:rsid w:val="00517BA4"/>
    <w:rsid w:val="00522E5D"/>
    <w:rsid w:val="005232B0"/>
    <w:rsid w:val="0052389E"/>
    <w:rsid w:val="005257DF"/>
    <w:rsid w:val="00525AF1"/>
    <w:rsid w:val="00525F23"/>
    <w:rsid w:val="005272A7"/>
    <w:rsid w:val="0052753B"/>
    <w:rsid w:val="00531665"/>
    <w:rsid w:val="005328CD"/>
    <w:rsid w:val="00532F81"/>
    <w:rsid w:val="00533562"/>
    <w:rsid w:val="00533CF4"/>
    <w:rsid w:val="00534055"/>
    <w:rsid w:val="005342D0"/>
    <w:rsid w:val="00535000"/>
    <w:rsid w:val="005371FB"/>
    <w:rsid w:val="0053725A"/>
    <w:rsid w:val="00537F55"/>
    <w:rsid w:val="00540665"/>
    <w:rsid w:val="00542649"/>
    <w:rsid w:val="0054284A"/>
    <w:rsid w:val="00542F09"/>
    <w:rsid w:val="005456DB"/>
    <w:rsid w:val="00545C9F"/>
    <w:rsid w:val="00546009"/>
    <w:rsid w:val="0054663D"/>
    <w:rsid w:val="00546854"/>
    <w:rsid w:val="005468B8"/>
    <w:rsid w:val="005503D2"/>
    <w:rsid w:val="0055115F"/>
    <w:rsid w:val="00552984"/>
    <w:rsid w:val="00554804"/>
    <w:rsid w:val="00554C15"/>
    <w:rsid w:val="00555D1E"/>
    <w:rsid w:val="0055695E"/>
    <w:rsid w:val="00557685"/>
    <w:rsid w:val="00557A01"/>
    <w:rsid w:val="005601D0"/>
    <w:rsid w:val="00560B01"/>
    <w:rsid w:val="00563166"/>
    <w:rsid w:val="00563DF4"/>
    <w:rsid w:val="00564A65"/>
    <w:rsid w:val="005660BF"/>
    <w:rsid w:val="005669EC"/>
    <w:rsid w:val="00570958"/>
    <w:rsid w:val="005724B9"/>
    <w:rsid w:val="00573184"/>
    <w:rsid w:val="00573E9A"/>
    <w:rsid w:val="00575D5F"/>
    <w:rsid w:val="00576A02"/>
    <w:rsid w:val="00576B11"/>
    <w:rsid w:val="00576E3C"/>
    <w:rsid w:val="005803C0"/>
    <w:rsid w:val="00580771"/>
    <w:rsid w:val="00583F47"/>
    <w:rsid w:val="00584ED3"/>
    <w:rsid w:val="00584F36"/>
    <w:rsid w:val="00585086"/>
    <w:rsid w:val="00585A23"/>
    <w:rsid w:val="005868B1"/>
    <w:rsid w:val="00587DF6"/>
    <w:rsid w:val="00587E99"/>
    <w:rsid w:val="0059140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7842"/>
    <w:rsid w:val="005B04A0"/>
    <w:rsid w:val="005B30FC"/>
    <w:rsid w:val="005B3435"/>
    <w:rsid w:val="005B4551"/>
    <w:rsid w:val="005B460F"/>
    <w:rsid w:val="005B4B6C"/>
    <w:rsid w:val="005B52A1"/>
    <w:rsid w:val="005B549E"/>
    <w:rsid w:val="005B5792"/>
    <w:rsid w:val="005B6BF7"/>
    <w:rsid w:val="005B6D70"/>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2CB0"/>
    <w:rsid w:val="005D2F79"/>
    <w:rsid w:val="005D4939"/>
    <w:rsid w:val="005D5461"/>
    <w:rsid w:val="005D6664"/>
    <w:rsid w:val="005D6E6E"/>
    <w:rsid w:val="005D71A6"/>
    <w:rsid w:val="005D7D9D"/>
    <w:rsid w:val="005E0012"/>
    <w:rsid w:val="005E006C"/>
    <w:rsid w:val="005E02C0"/>
    <w:rsid w:val="005E1BB8"/>
    <w:rsid w:val="005E1E84"/>
    <w:rsid w:val="005E2A26"/>
    <w:rsid w:val="005E3748"/>
    <w:rsid w:val="005E3D40"/>
    <w:rsid w:val="005E4011"/>
    <w:rsid w:val="005E4EFC"/>
    <w:rsid w:val="005E56C0"/>
    <w:rsid w:val="005E5A4D"/>
    <w:rsid w:val="005E5FD1"/>
    <w:rsid w:val="005E603D"/>
    <w:rsid w:val="005F13E2"/>
    <w:rsid w:val="005F4595"/>
    <w:rsid w:val="005F5161"/>
    <w:rsid w:val="005F686B"/>
    <w:rsid w:val="005F758E"/>
    <w:rsid w:val="00600DBB"/>
    <w:rsid w:val="006013CF"/>
    <w:rsid w:val="00601B9E"/>
    <w:rsid w:val="00601C09"/>
    <w:rsid w:val="006031C4"/>
    <w:rsid w:val="006059B9"/>
    <w:rsid w:val="00605B85"/>
    <w:rsid w:val="00605DCF"/>
    <w:rsid w:val="0060711E"/>
    <w:rsid w:val="00607D52"/>
    <w:rsid w:val="0061264D"/>
    <w:rsid w:val="00612A28"/>
    <w:rsid w:val="006130AF"/>
    <w:rsid w:val="00616267"/>
    <w:rsid w:val="006167A2"/>
    <w:rsid w:val="006200EA"/>
    <w:rsid w:val="006214DF"/>
    <w:rsid w:val="00621AFB"/>
    <w:rsid w:val="00622987"/>
    <w:rsid w:val="0062444F"/>
    <w:rsid w:val="00625E13"/>
    <w:rsid w:val="006327AE"/>
    <w:rsid w:val="006359D9"/>
    <w:rsid w:val="006368B6"/>
    <w:rsid w:val="00637934"/>
    <w:rsid w:val="006403DB"/>
    <w:rsid w:val="00640A7D"/>
    <w:rsid w:val="00640AEC"/>
    <w:rsid w:val="006416EF"/>
    <w:rsid w:val="0064290E"/>
    <w:rsid w:val="00642B56"/>
    <w:rsid w:val="0064584C"/>
    <w:rsid w:val="00645A2E"/>
    <w:rsid w:val="00645F56"/>
    <w:rsid w:val="0064670E"/>
    <w:rsid w:val="00646CF8"/>
    <w:rsid w:val="00647210"/>
    <w:rsid w:val="00647624"/>
    <w:rsid w:val="00650072"/>
    <w:rsid w:val="00651073"/>
    <w:rsid w:val="00651732"/>
    <w:rsid w:val="006519F3"/>
    <w:rsid w:val="006523EC"/>
    <w:rsid w:val="006534CE"/>
    <w:rsid w:val="00653AA8"/>
    <w:rsid w:val="00653DB8"/>
    <w:rsid w:val="00653F02"/>
    <w:rsid w:val="00654A98"/>
    <w:rsid w:val="0065678F"/>
    <w:rsid w:val="0065744C"/>
    <w:rsid w:val="0066042C"/>
    <w:rsid w:val="00660809"/>
    <w:rsid w:val="0066092D"/>
    <w:rsid w:val="00660F14"/>
    <w:rsid w:val="006610D0"/>
    <w:rsid w:val="00661C44"/>
    <w:rsid w:val="00662F4F"/>
    <w:rsid w:val="00665274"/>
    <w:rsid w:val="00666CBF"/>
    <w:rsid w:val="00666FD6"/>
    <w:rsid w:val="00667A22"/>
    <w:rsid w:val="00670A51"/>
    <w:rsid w:val="00670C69"/>
    <w:rsid w:val="00671977"/>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5A9E"/>
    <w:rsid w:val="00692C2E"/>
    <w:rsid w:val="0069421B"/>
    <w:rsid w:val="006A00C1"/>
    <w:rsid w:val="006A0A5A"/>
    <w:rsid w:val="006A0F6B"/>
    <w:rsid w:val="006A183C"/>
    <w:rsid w:val="006A218E"/>
    <w:rsid w:val="006A2554"/>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2C46"/>
    <w:rsid w:val="006B2F12"/>
    <w:rsid w:val="006B301B"/>
    <w:rsid w:val="006B41E7"/>
    <w:rsid w:val="006B4247"/>
    <w:rsid w:val="006B4EA5"/>
    <w:rsid w:val="006B5182"/>
    <w:rsid w:val="006B5F17"/>
    <w:rsid w:val="006B7968"/>
    <w:rsid w:val="006C2455"/>
    <w:rsid w:val="006C2B1F"/>
    <w:rsid w:val="006C4E9D"/>
    <w:rsid w:val="006C5319"/>
    <w:rsid w:val="006C5E97"/>
    <w:rsid w:val="006C7E2C"/>
    <w:rsid w:val="006D0639"/>
    <w:rsid w:val="006D07BA"/>
    <w:rsid w:val="006D0A2A"/>
    <w:rsid w:val="006D2608"/>
    <w:rsid w:val="006D2834"/>
    <w:rsid w:val="006D34E9"/>
    <w:rsid w:val="006D40F4"/>
    <w:rsid w:val="006D494F"/>
    <w:rsid w:val="006D5FAE"/>
    <w:rsid w:val="006D7567"/>
    <w:rsid w:val="006D7BBE"/>
    <w:rsid w:val="006D7F54"/>
    <w:rsid w:val="006E0468"/>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418B"/>
    <w:rsid w:val="006F6506"/>
    <w:rsid w:val="006F715D"/>
    <w:rsid w:val="006F7752"/>
    <w:rsid w:val="006F7AA3"/>
    <w:rsid w:val="00701841"/>
    <w:rsid w:val="00702076"/>
    <w:rsid w:val="00703F24"/>
    <w:rsid w:val="007048B5"/>
    <w:rsid w:val="00704BAA"/>
    <w:rsid w:val="007056A9"/>
    <w:rsid w:val="007059C4"/>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4C5C"/>
    <w:rsid w:val="00725691"/>
    <w:rsid w:val="00725717"/>
    <w:rsid w:val="00726E81"/>
    <w:rsid w:val="007276B1"/>
    <w:rsid w:val="00727993"/>
    <w:rsid w:val="00727DD4"/>
    <w:rsid w:val="00730046"/>
    <w:rsid w:val="00730962"/>
    <w:rsid w:val="00731FA8"/>
    <w:rsid w:val="0073299F"/>
    <w:rsid w:val="00733214"/>
    <w:rsid w:val="00733503"/>
    <w:rsid w:val="0073365B"/>
    <w:rsid w:val="00733C7D"/>
    <w:rsid w:val="007355E9"/>
    <w:rsid w:val="007359D6"/>
    <w:rsid w:val="007360CA"/>
    <w:rsid w:val="00736487"/>
    <w:rsid w:val="00736B45"/>
    <w:rsid w:val="007378FC"/>
    <w:rsid w:val="00740C9A"/>
    <w:rsid w:val="00744C2E"/>
    <w:rsid w:val="007450D8"/>
    <w:rsid w:val="00746996"/>
    <w:rsid w:val="00747BC8"/>
    <w:rsid w:val="00747EDA"/>
    <w:rsid w:val="007502E9"/>
    <w:rsid w:val="00751B62"/>
    <w:rsid w:val="00751C1B"/>
    <w:rsid w:val="007522E0"/>
    <w:rsid w:val="007526CC"/>
    <w:rsid w:val="007548F8"/>
    <w:rsid w:val="00754CB9"/>
    <w:rsid w:val="00754E8C"/>
    <w:rsid w:val="007550FF"/>
    <w:rsid w:val="00756A7F"/>
    <w:rsid w:val="00761BE0"/>
    <w:rsid w:val="00763450"/>
    <w:rsid w:val="0076366C"/>
    <w:rsid w:val="007650E7"/>
    <w:rsid w:val="00765605"/>
    <w:rsid w:val="00765941"/>
    <w:rsid w:val="00766BBA"/>
    <w:rsid w:val="00767471"/>
    <w:rsid w:val="00767D9C"/>
    <w:rsid w:val="00770BA5"/>
    <w:rsid w:val="00770E63"/>
    <w:rsid w:val="00771919"/>
    <w:rsid w:val="00771B01"/>
    <w:rsid w:val="00771B98"/>
    <w:rsid w:val="00772908"/>
    <w:rsid w:val="00773C39"/>
    <w:rsid w:val="00773D86"/>
    <w:rsid w:val="007743B2"/>
    <w:rsid w:val="00774FF6"/>
    <w:rsid w:val="0077513C"/>
    <w:rsid w:val="00775C8F"/>
    <w:rsid w:val="00776CE2"/>
    <w:rsid w:val="00780155"/>
    <w:rsid w:val="0078107A"/>
    <w:rsid w:val="00781AD5"/>
    <w:rsid w:val="00784835"/>
    <w:rsid w:val="007849CF"/>
    <w:rsid w:val="00784A74"/>
    <w:rsid w:val="00786110"/>
    <w:rsid w:val="00786330"/>
    <w:rsid w:val="00786954"/>
    <w:rsid w:val="00786B4D"/>
    <w:rsid w:val="00787DB8"/>
    <w:rsid w:val="007903C7"/>
    <w:rsid w:val="00790455"/>
    <w:rsid w:val="00791E5C"/>
    <w:rsid w:val="00792E36"/>
    <w:rsid w:val="00795105"/>
    <w:rsid w:val="00795292"/>
    <w:rsid w:val="00795A0F"/>
    <w:rsid w:val="00796F39"/>
    <w:rsid w:val="007970AC"/>
    <w:rsid w:val="007A0E9C"/>
    <w:rsid w:val="007A1076"/>
    <w:rsid w:val="007A2914"/>
    <w:rsid w:val="007A3192"/>
    <w:rsid w:val="007A4776"/>
    <w:rsid w:val="007A5199"/>
    <w:rsid w:val="007A665C"/>
    <w:rsid w:val="007A7BA9"/>
    <w:rsid w:val="007B1351"/>
    <w:rsid w:val="007B2808"/>
    <w:rsid w:val="007B30A5"/>
    <w:rsid w:val="007B3830"/>
    <w:rsid w:val="007B3A85"/>
    <w:rsid w:val="007B3F24"/>
    <w:rsid w:val="007B4B16"/>
    <w:rsid w:val="007B4C84"/>
    <w:rsid w:val="007B54CA"/>
    <w:rsid w:val="007B5AC3"/>
    <w:rsid w:val="007B6710"/>
    <w:rsid w:val="007B6AED"/>
    <w:rsid w:val="007C0221"/>
    <w:rsid w:val="007C02B5"/>
    <w:rsid w:val="007C0395"/>
    <w:rsid w:val="007C0E07"/>
    <w:rsid w:val="007C18BA"/>
    <w:rsid w:val="007C23F6"/>
    <w:rsid w:val="007C25A4"/>
    <w:rsid w:val="007C295F"/>
    <w:rsid w:val="007C3FFA"/>
    <w:rsid w:val="007C5E48"/>
    <w:rsid w:val="007C6614"/>
    <w:rsid w:val="007C6C0D"/>
    <w:rsid w:val="007C7ADD"/>
    <w:rsid w:val="007D1898"/>
    <w:rsid w:val="007D1FD1"/>
    <w:rsid w:val="007D2120"/>
    <w:rsid w:val="007D4A9D"/>
    <w:rsid w:val="007D5513"/>
    <w:rsid w:val="007D5D2D"/>
    <w:rsid w:val="007D7194"/>
    <w:rsid w:val="007D7B69"/>
    <w:rsid w:val="007E1432"/>
    <w:rsid w:val="007E340C"/>
    <w:rsid w:val="007E36B5"/>
    <w:rsid w:val="007E4DB9"/>
    <w:rsid w:val="007E51CA"/>
    <w:rsid w:val="007E58E4"/>
    <w:rsid w:val="007E7148"/>
    <w:rsid w:val="007F0BA3"/>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E2A"/>
    <w:rsid w:val="008056F3"/>
    <w:rsid w:val="00805A88"/>
    <w:rsid w:val="00806293"/>
    <w:rsid w:val="008074A4"/>
    <w:rsid w:val="00807575"/>
    <w:rsid w:val="00807E5C"/>
    <w:rsid w:val="008104D2"/>
    <w:rsid w:val="008119D8"/>
    <w:rsid w:val="0081203A"/>
    <w:rsid w:val="008132A3"/>
    <w:rsid w:val="00815F47"/>
    <w:rsid w:val="008160ED"/>
    <w:rsid w:val="00816AAE"/>
    <w:rsid w:val="00816D50"/>
    <w:rsid w:val="00817298"/>
    <w:rsid w:val="00817BDA"/>
    <w:rsid w:val="008202AD"/>
    <w:rsid w:val="00820D42"/>
    <w:rsid w:val="0082117D"/>
    <w:rsid w:val="00821227"/>
    <w:rsid w:val="00821913"/>
    <w:rsid w:val="00821B67"/>
    <w:rsid w:val="00822136"/>
    <w:rsid w:val="00822DD9"/>
    <w:rsid w:val="00823092"/>
    <w:rsid w:val="00823D6B"/>
    <w:rsid w:val="00824432"/>
    <w:rsid w:val="00824786"/>
    <w:rsid w:val="00824DA7"/>
    <w:rsid w:val="00825895"/>
    <w:rsid w:val="008278B2"/>
    <w:rsid w:val="00830506"/>
    <w:rsid w:val="00830C53"/>
    <w:rsid w:val="008312BE"/>
    <w:rsid w:val="0083140D"/>
    <w:rsid w:val="008315AD"/>
    <w:rsid w:val="00831763"/>
    <w:rsid w:val="00831D6C"/>
    <w:rsid w:val="00832998"/>
    <w:rsid w:val="008332FF"/>
    <w:rsid w:val="0083369D"/>
    <w:rsid w:val="0083465A"/>
    <w:rsid w:val="0083514C"/>
    <w:rsid w:val="00835251"/>
    <w:rsid w:val="0083561A"/>
    <w:rsid w:val="00837590"/>
    <w:rsid w:val="00840250"/>
    <w:rsid w:val="00843A7F"/>
    <w:rsid w:val="00843ACF"/>
    <w:rsid w:val="00844629"/>
    <w:rsid w:val="008447FE"/>
    <w:rsid w:val="0084512F"/>
    <w:rsid w:val="00846E2E"/>
    <w:rsid w:val="00847181"/>
    <w:rsid w:val="00847CCB"/>
    <w:rsid w:val="008501AC"/>
    <w:rsid w:val="00852C7C"/>
    <w:rsid w:val="00853CD4"/>
    <w:rsid w:val="00854F24"/>
    <w:rsid w:val="008556BB"/>
    <w:rsid w:val="008556F1"/>
    <w:rsid w:val="008558A1"/>
    <w:rsid w:val="008558AE"/>
    <w:rsid w:val="00856A18"/>
    <w:rsid w:val="00856DF0"/>
    <w:rsid w:val="00857ACC"/>
    <w:rsid w:val="00860C8B"/>
    <w:rsid w:val="008610E3"/>
    <w:rsid w:val="00861492"/>
    <w:rsid w:val="00862484"/>
    <w:rsid w:val="00862DAF"/>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6F45"/>
    <w:rsid w:val="00880E31"/>
    <w:rsid w:val="00881099"/>
    <w:rsid w:val="008814C8"/>
    <w:rsid w:val="00881907"/>
    <w:rsid w:val="00883094"/>
    <w:rsid w:val="00884D6D"/>
    <w:rsid w:val="00884EE3"/>
    <w:rsid w:val="00885081"/>
    <w:rsid w:val="00885A16"/>
    <w:rsid w:val="008864E8"/>
    <w:rsid w:val="008869D9"/>
    <w:rsid w:val="00887A67"/>
    <w:rsid w:val="00891903"/>
    <w:rsid w:val="00891C27"/>
    <w:rsid w:val="008923C6"/>
    <w:rsid w:val="008927BB"/>
    <w:rsid w:val="00892D13"/>
    <w:rsid w:val="00895126"/>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62A"/>
    <w:rsid w:val="009003B1"/>
    <w:rsid w:val="00900C2A"/>
    <w:rsid w:val="0090156C"/>
    <w:rsid w:val="0090282F"/>
    <w:rsid w:val="0090344F"/>
    <w:rsid w:val="0090361B"/>
    <w:rsid w:val="00903CA0"/>
    <w:rsid w:val="00903E65"/>
    <w:rsid w:val="00904818"/>
    <w:rsid w:val="00906C0A"/>
    <w:rsid w:val="00907B7F"/>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D38"/>
    <w:rsid w:val="00921206"/>
    <w:rsid w:val="00922088"/>
    <w:rsid w:val="0092297C"/>
    <w:rsid w:val="009229BE"/>
    <w:rsid w:val="00922CF1"/>
    <w:rsid w:val="00924952"/>
    <w:rsid w:val="00924D49"/>
    <w:rsid w:val="0092533E"/>
    <w:rsid w:val="009256B5"/>
    <w:rsid w:val="00926AF3"/>
    <w:rsid w:val="0093212A"/>
    <w:rsid w:val="0093292A"/>
    <w:rsid w:val="00934070"/>
    <w:rsid w:val="00934C98"/>
    <w:rsid w:val="0093581A"/>
    <w:rsid w:val="009360C9"/>
    <w:rsid w:val="00937735"/>
    <w:rsid w:val="00937ED3"/>
    <w:rsid w:val="00940807"/>
    <w:rsid w:val="00940CB8"/>
    <w:rsid w:val="00941EAB"/>
    <w:rsid w:val="0094237A"/>
    <w:rsid w:val="0094280A"/>
    <w:rsid w:val="00942E0D"/>
    <w:rsid w:val="009444BA"/>
    <w:rsid w:val="00944633"/>
    <w:rsid w:val="009458FF"/>
    <w:rsid w:val="00946A28"/>
    <w:rsid w:val="00946D4B"/>
    <w:rsid w:val="00950780"/>
    <w:rsid w:val="00951091"/>
    <w:rsid w:val="00951918"/>
    <w:rsid w:val="0095288B"/>
    <w:rsid w:val="0095399D"/>
    <w:rsid w:val="00953E23"/>
    <w:rsid w:val="0095576B"/>
    <w:rsid w:val="00955BB4"/>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CC1"/>
    <w:rsid w:val="00971B2C"/>
    <w:rsid w:val="00971E6F"/>
    <w:rsid w:val="0097265A"/>
    <w:rsid w:val="009727D0"/>
    <w:rsid w:val="009727E3"/>
    <w:rsid w:val="00972B56"/>
    <w:rsid w:val="00972CD6"/>
    <w:rsid w:val="00973209"/>
    <w:rsid w:val="00973ADF"/>
    <w:rsid w:val="00973CD7"/>
    <w:rsid w:val="00973F5D"/>
    <w:rsid w:val="00974999"/>
    <w:rsid w:val="009749B0"/>
    <w:rsid w:val="00974B83"/>
    <w:rsid w:val="00974DDD"/>
    <w:rsid w:val="0097730B"/>
    <w:rsid w:val="00977FF3"/>
    <w:rsid w:val="00980249"/>
    <w:rsid w:val="009802DE"/>
    <w:rsid w:val="00980392"/>
    <w:rsid w:val="00981ADE"/>
    <w:rsid w:val="00982516"/>
    <w:rsid w:val="00982A33"/>
    <w:rsid w:val="00982C19"/>
    <w:rsid w:val="00983602"/>
    <w:rsid w:val="009839CE"/>
    <w:rsid w:val="009852FE"/>
    <w:rsid w:val="00985BAE"/>
    <w:rsid w:val="00985F62"/>
    <w:rsid w:val="00986825"/>
    <w:rsid w:val="00986D73"/>
    <w:rsid w:val="00990ADB"/>
    <w:rsid w:val="00990D39"/>
    <w:rsid w:val="009927DB"/>
    <w:rsid w:val="0099332E"/>
    <w:rsid w:val="00994AC9"/>
    <w:rsid w:val="00994AF2"/>
    <w:rsid w:val="0099559D"/>
    <w:rsid w:val="00995F7D"/>
    <w:rsid w:val="0099718E"/>
    <w:rsid w:val="00997B58"/>
    <w:rsid w:val="009A0274"/>
    <w:rsid w:val="009A07CA"/>
    <w:rsid w:val="009A1750"/>
    <w:rsid w:val="009A3FAF"/>
    <w:rsid w:val="009A42C6"/>
    <w:rsid w:val="009A45F3"/>
    <w:rsid w:val="009A4AE8"/>
    <w:rsid w:val="009A5870"/>
    <w:rsid w:val="009A6DA2"/>
    <w:rsid w:val="009A7D92"/>
    <w:rsid w:val="009A7F31"/>
    <w:rsid w:val="009B00B2"/>
    <w:rsid w:val="009B3150"/>
    <w:rsid w:val="009B3B8E"/>
    <w:rsid w:val="009B58B9"/>
    <w:rsid w:val="009B5984"/>
    <w:rsid w:val="009B5BDE"/>
    <w:rsid w:val="009C09F1"/>
    <w:rsid w:val="009C129C"/>
    <w:rsid w:val="009C1397"/>
    <w:rsid w:val="009C34A1"/>
    <w:rsid w:val="009C3670"/>
    <w:rsid w:val="009C474D"/>
    <w:rsid w:val="009C4C8B"/>
    <w:rsid w:val="009C540F"/>
    <w:rsid w:val="009C5AE0"/>
    <w:rsid w:val="009C60EE"/>
    <w:rsid w:val="009C7416"/>
    <w:rsid w:val="009C7BD9"/>
    <w:rsid w:val="009C7E2F"/>
    <w:rsid w:val="009D0800"/>
    <w:rsid w:val="009D4553"/>
    <w:rsid w:val="009D46F8"/>
    <w:rsid w:val="009D52ED"/>
    <w:rsid w:val="009D5D27"/>
    <w:rsid w:val="009D68EB"/>
    <w:rsid w:val="009D7DAF"/>
    <w:rsid w:val="009E1227"/>
    <w:rsid w:val="009E14A3"/>
    <w:rsid w:val="009E1EDF"/>
    <w:rsid w:val="009E3539"/>
    <w:rsid w:val="009E5EBA"/>
    <w:rsid w:val="009E6D15"/>
    <w:rsid w:val="009F013A"/>
    <w:rsid w:val="009F0783"/>
    <w:rsid w:val="009F1BC7"/>
    <w:rsid w:val="009F20B8"/>
    <w:rsid w:val="009F2A69"/>
    <w:rsid w:val="009F4024"/>
    <w:rsid w:val="009F51E9"/>
    <w:rsid w:val="009F55FC"/>
    <w:rsid w:val="009F76B3"/>
    <w:rsid w:val="00A01497"/>
    <w:rsid w:val="00A01572"/>
    <w:rsid w:val="00A01635"/>
    <w:rsid w:val="00A0194B"/>
    <w:rsid w:val="00A01C0C"/>
    <w:rsid w:val="00A02235"/>
    <w:rsid w:val="00A02242"/>
    <w:rsid w:val="00A03078"/>
    <w:rsid w:val="00A04776"/>
    <w:rsid w:val="00A078B1"/>
    <w:rsid w:val="00A07C46"/>
    <w:rsid w:val="00A10B6E"/>
    <w:rsid w:val="00A127A0"/>
    <w:rsid w:val="00A12F4A"/>
    <w:rsid w:val="00A14635"/>
    <w:rsid w:val="00A149C1"/>
    <w:rsid w:val="00A14A33"/>
    <w:rsid w:val="00A155C4"/>
    <w:rsid w:val="00A1578F"/>
    <w:rsid w:val="00A15EA0"/>
    <w:rsid w:val="00A16713"/>
    <w:rsid w:val="00A2061E"/>
    <w:rsid w:val="00A2145C"/>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B0C"/>
    <w:rsid w:val="00A43938"/>
    <w:rsid w:val="00A454F1"/>
    <w:rsid w:val="00A45622"/>
    <w:rsid w:val="00A47E3A"/>
    <w:rsid w:val="00A500C0"/>
    <w:rsid w:val="00A505ED"/>
    <w:rsid w:val="00A514B2"/>
    <w:rsid w:val="00A517B9"/>
    <w:rsid w:val="00A525B8"/>
    <w:rsid w:val="00A527BF"/>
    <w:rsid w:val="00A52831"/>
    <w:rsid w:val="00A54265"/>
    <w:rsid w:val="00A54649"/>
    <w:rsid w:val="00A56C7C"/>
    <w:rsid w:val="00A57F19"/>
    <w:rsid w:val="00A605D2"/>
    <w:rsid w:val="00A60AE3"/>
    <w:rsid w:val="00A60CF2"/>
    <w:rsid w:val="00A60E54"/>
    <w:rsid w:val="00A60E7C"/>
    <w:rsid w:val="00A613FD"/>
    <w:rsid w:val="00A618F4"/>
    <w:rsid w:val="00A61921"/>
    <w:rsid w:val="00A6425A"/>
    <w:rsid w:val="00A64EC1"/>
    <w:rsid w:val="00A65A3C"/>
    <w:rsid w:val="00A66BDF"/>
    <w:rsid w:val="00A66C26"/>
    <w:rsid w:val="00A70210"/>
    <w:rsid w:val="00A70B9B"/>
    <w:rsid w:val="00A7308A"/>
    <w:rsid w:val="00A74611"/>
    <w:rsid w:val="00A74746"/>
    <w:rsid w:val="00A7492F"/>
    <w:rsid w:val="00A74BEE"/>
    <w:rsid w:val="00A7590F"/>
    <w:rsid w:val="00A761FD"/>
    <w:rsid w:val="00A763B0"/>
    <w:rsid w:val="00A7772C"/>
    <w:rsid w:val="00A77FCF"/>
    <w:rsid w:val="00A82BE2"/>
    <w:rsid w:val="00A82C18"/>
    <w:rsid w:val="00A82EC7"/>
    <w:rsid w:val="00A830CB"/>
    <w:rsid w:val="00A835D8"/>
    <w:rsid w:val="00A836CE"/>
    <w:rsid w:val="00A84275"/>
    <w:rsid w:val="00A8478A"/>
    <w:rsid w:val="00A8676F"/>
    <w:rsid w:val="00A870C2"/>
    <w:rsid w:val="00A91043"/>
    <w:rsid w:val="00A91F2E"/>
    <w:rsid w:val="00A9263D"/>
    <w:rsid w:val="00A92D89"/>
    <w:rsid w:val="00A95420"/>
    <w:rsid w:val="00A95F4D"/>
    <w:rsid w:val="00A96A7D"/>
    <w:rsid w:val="00A97581"/>
    <w:rsid w:val="00A977AD"/>
    <w:rsid w:val="00AA05EE"/>
    <w:rsid w:val="00AA092E"/>
    <w:rsid w:val="00AA160A"/>
    <w:rsid w:val="00AA2E81"/>
    <w:rsid w:val="00AA4976"/>
    <w:rsid w:val="00AA55D5"/>
    <w:rsid w:val="00AA563A"/>
    <w:rsid w:val="00AA5CB2"/>
    <w:rsid w:val="00AA6E8A"/>
    <w:rsid w:val="00AA6EA1"/>
    <w:rsid w:val="00AA701F"/>
    <w:rsid w:val="00AA76D8"/>
    <w:rsid w:val="00AA7733"/>
    <w:rsid w:val="00AA7D3D"/>
    <w:rsid w:val="00AA7D44"/>
    <w:rsid w:val="00AB03AA"/>
    <w:rsid w:val="00AB2772"/>
    <w:rsid w:val="00AB6FCE"/>
    <w:rsid w:val="00AB7556"/>
    <w:rsid w:val="00AC0179"/>
    <w:rsid w:val="00AC1141"/>
    <w:rsid w:val="00AC1C6B"/>
    <w:rsid w:val="00AC2D0C"/>
    <w:rsid w:val="00AC3F2B"/>
    <w:rsid w:val="00AC4840"/>
    <w:rsid w:val="00AC5966"/>
    <w:rsid w:val="00AC5EC9"/>
    <w:rsid w:val="00AC5F9A"/>
    <w:rsid w:val="00AC6274"/>
    <w:rsid w:val="00AC6513"/>
    <w:rsid w:val="00AC6F68"/>
    <w:rsid w:val="00AC7466"/>
    <w:rsid w:val="00AC7CC5"/>
    <w:rsid w:val="00AD06C4"/>
    <w:rsid w:val="00AD0D02"/>
    <w:rsid w:val="00AD11C9"/>
    <w:rsid w:val="00AD2CA6"/>
    <w:rsid w:val="00AD3343"/>
    <w:rsid w:val="00AD3E03"/>
    <w:rsid w:val="00AD45A1"/>
    <w:rsid w:val="00AD68EF"/>
    <w:rsid w:val="00AE2013"/>
    <w:rsid w:val="00AE223F"/>
    <w:rsid w:val="00AE3F7B"/>
    <w:rsid w:val="00AE5A37"/>
    <w:rsid w:val="00AE7572"/>
    <w:rsid w:val="00AF4EEF"/>
    <w:rsid w:val="00AF5791"/>
    <w:rsid w:val="00AF60CA"/>
    <w:rsid w:val="00AF69D6"/>
    <w:rsid w:val="00AF7E75"/>
    <w:rsid w:val="00AF7FD0"/>
    <w:rsid w:val="00B039F6"/>
    <w:rsid w:val="00B03F02"/>
    <w:rsid w:val="00B044FD"/>
    <w:rsid w:val="00B04766"/>
    <w:rsid w:val="00B0480D"/>
    <w:rsid w:val="00B05982"/>
    <w:rsid w:val="00B06A06"/>
    <w:rsid w:val="00B07842"/>
    <w:rsid w:val="00B07C93"/>
    <w:rsid w:val="00B14928"/>
    <w:rsid w:val="00B16649"/>
    <w:rsid w:val="00B1672F"/>
    <w:rsid w:val="00B17B8A"/>
    <w:rsid w:val="00B17BE4"/>
    <w:rsid w:val="00B23CF5"/>
    <w:rsid w:val="00B246ED"/>
    <w:rsid w:val="00B24F03"/>
    <w:rsid w:val="00B24F39"/>
    <w:rsid w:val="00B25DA0"/>
    <w:rsid w:val="00B25E91"/>
    <w:rsid w:val="00B26272"/>
    <w:rsid w:val="00B2752B"/>
    <w:rsid w:val="00B27948"/>
    <w:rsid w:val="00B27ACA"/>
    <w:rsid w:val="00B31CC9"/>
    <w:rsid w:val="00B3245F"/>
    <w:rsid w:val="00B32BDB"/>
    <w:rsid w:val="00B3465F"/>
    <w:rsid w:val="00B347FC"/>
    <w:rsid w:val="00B34BF7"/>
    <w:rsid w:val="00B350B5"/>
    <w:rsid w:val="00B35BFC"/>
    <w:rsid w:val="00B36E0A"/>
    <w:rsid w:val="00B3773B"/>
    <w:rsid w:val="00B37845"/>
    <w:rsid w:val="00B37E09"/>
    <w:rsid w:val="00B40398"/>
    <w:rsid w:val="00B416D2"/>
    <w:rsid w:val="00B42C7F"/>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4486"/>
    <w:rsid w:val="00B551AA"/>
    <w:rsid w:val="00B56865"/>
    <w:rsid w:val="00B615A6"/>
    <w:rsid w:val="00B61E7B"/>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175F"/>
    <w:rsid w:val="00B82912"/>
    <w:rsid w:val="00B83E10"/>
    <w:rsid w:val="00B84289"/>
    <w:rsid w:val="00B84E9F"/>
    <w:rsid w:val="00B85817"/>
    <w:rsid w:val="00B85CBD"/>
    <w:rsid w:val="00B8747B"/>
    <w:rsid w:val="00B87A2C"/>
    <w:rsid w:val="00B901C3"/>
    <w:rsid w:val="00B90CD3"/>
    <w:rsid w:val="00B9125B"/>
    <w:rsid w:val="00B91D16"/>
    <w:rsid w:val="00B92A10"/>
    <w:rsid w:val="00B92AD4"/>
    <w:rsid w:val="00B9323D"/>
    <w:rsid w:val="00B93E5B"/>
    <w:rsid w:val="00B94039"/>
    <w:rsid w:val="00B945AE"/>
    <w:rsid w:val="00B94D1A"/>
    <w:rsid w:val="00B9537C"/>
    <w:rsid w:val="00B95533"/>
    <w:rsid w:val="00B9614D"/>
    <w:rsid w:val="00B9761D"/>
    <w:rsid w:val="00B97BAF"/>
    <w:rsid w:val="00B97C60"/>
    <w:rsid w:val="00BA00AF"/>
    <w:rsid w:val="00BA00D5"/>
    <w:rsid w:val="00BA0568"/>
    <w:rsid w:val="00BA084A"/>
    <w:rsid w:val="00BA478E"/>
    <w:rsid w:val="00BA4BE2"/>
    <w:rsid w:val="00BA5EEF"/>
    <w:rsid w:val="00BA6043"/>
    <w:rsid w:val="00BA6279"/>
    <w:rsid w:val="00BA76C9"/>
    <w:rsid w:val="00BA7825"/>
    <w:rsid w:val="00BA7916"/>
    <w:rsid w:val="00BA7A17"/>
    <w:rsid w:val="00BB227E"/>
    <w:rsid w:val="00BB22AD"/>
    <w:rsid w:val="00BB2D13"/>
    <w:rsid w:val="00BB2E29"/>
    <w:rsid w:val="00BB3666"/>
    <w:rsid w:val="00BB3869"/>
    <w:rsid w:val="00BB48F4"/>
    <w:rsid w:val="00BB63B4"/>
    <w:rsid w:val="00BC06B0"/>
    <w:rsid w:val="00BC085C"/>
    <w:rsid w:val="00BC1031"/>
    <w:rsid w:val="00BC14AE"/>
    <w:rsid w:val="00BC1A5A"/>
    <w:rsid w:val="00BC1DD9"/>
    <w:rsid w:val="00BC228E"/>
    <w:rsid w:val="00BC3202"/>
    <w:rsid w:val="00BC34A9"/>
    <w:rsid w:val="00BC45FE"/>
    <w:rsid w:val="00BC5E3E"/>
    <w:rsid w:val="00BC60D9"/>
    <w:rsid w:val="00BC70EE"/>
    <w:rsid w:val="00BC7760"/>
    <w:rsid w:val="00BD00CF"/>
    <w:rsid w:val="00BD0338"/>
    <w:rsid w:val="00BD0B09"/>
    <w:rsid w:val="00BD14DC"/>
    <w:rsid w:val="00BD152B"/>
    <w:rsid w:val="00BD15D0"/>
    <w:rsid w:val="00BD18CD"/>
    <w:rsid w:val="00BD1D59"/>
    <w:rsid w:val="00BD2717"/>
    <w:rsid w:val="00BD28D2"/>
    <w:rsid w:val="00BD2DC4"/>
    <w:rsid w:val="00BD2F57"/>
    <w:rsid w:val="00BD5846"/>
    <w:rsid w:val="00BD6058"/>
    <w:rsid w:val="00BD6B74"/>
    <w:rsid w:val="00BD6EF0"/>
    <w:rsid w:val="00BD740F"/>
    <w:rsid w:val="00BE0E7C"/>
    <w:rsid w:val="00BE18D5"/>
    <w:rsid w:val="00BE1AAF"/>
    <w:rsid w:val="00BE1F61"/>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DA2"/>
    <w:rsid w:val="00BF69F7"/>
    <w:rsid w:val="00BF6E65"/>
    <w:rsid w:val="00BF7FCE"/>
    <w:rsid w:val="00C0083D"/>
    <w:rsid w:val="00C00EC5"/>
    <w:rsid w:val="00C01D62"/>
    <w:rsid w:val="00C02D71"/>
    <w:rsid w:val="00C0303C"/>
    <w:rsid w:val="00C033B5"/>
    <w:rsid w:val="00C0384D"/>
    <w:rsid w:val="00C05500"/>
    <w:rsid w:val="00C05586"/>
    <w:rsid w:val="00C05A50"/>
    <w:rsid w:val="00C108A8"/>
    <w:rsid w:val="00C11302"/>
    <w:rsid w:val="00C119BF"/>
    <w:rsid w:val="00C12106"/>
    <w:rsid w:val="00C1214B"/>
    <w:rsid w:val="00C13AFB"/>
    <w:rsid w:val="00C16AAA"/>
    <w:rsid w:val="00C1703C"/>
    <w:rsid w:val="00C17FE8"/>
    <w:rsid w:val="00C23F64"/>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862"/>
    <w:rsid w:val="00C3551F"/>
    <w:rsid w:val="00C36E80"/>
    <w:rsid w:val="00C3715A"/>
    <w:rsid w:val="00C37EB8"/>
    <w:rsid w:val="00C40AE4"/>
    <w:rsid w:val="00C4100F"/>
    <w:rsid w:val="00C413C9"/>
    <w:rsid w:val="00C418D9"/>
    <w:rsid w:val="00C425D9"/>
    <w:rsid w:val="00C42972"/>
    <w:rsid w:val="00C4432D"/>
    <w:rsid w:val="00C448BB"/>
    <w:rsid w:val="00C45DF6"/>
    <w:rsid w:val="00C46B2A"/>
    <w:rsid w:val="00C47C2A"/>
    <w:rsid w:val="00C50517"/>
    <w:rsid w:val="00C52794"/>
    <w:rsid w:val="00C5308D"/>
    <w:rsid w:val="00C53396"/>
    <w:rsid w:val="00C53740"/>
    <w:rsid w:val="00C53902"/>
    <w:rsid w:val="00C55178"/>
    <w:rsid w:val="00C552AE"/>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315"/>
    <w:rsid w:val="00C67F26"/>
    <w:rsid w:val="00C70978"/>
    <w:rsid w:val="00C70C91"/>
    <w:rsid w:val="00C729EA"/>
    <w:rsid w:val="00C737A0"/>
    <w:rsid w:val="00C738D6"/>
    <w:rsid w:val="00C73E6A"/>
    <w:rsid w:val="00C73EC9"/>
    <w:rsid w:val="00C7467F"/>
    <w:rsid w:val="00C747DF"/>
    <w:rsid w:val="00C749A5"/>
    <w:rsid w:val="00C75162"/>
    <w:rsid w:val="00C75CEC"/>
    <w:rsid w:val="00C76033"/>
    <w:rsid w:val="00C77CAB"/>
    <w:rsid w:val="00C80A3F"/>
    <w:rsid w:val="00C8445A"/>
    <w:rsid w:val="00C84E85"/>
    <w:rsid w:val="00C84F8B"/>
    <w:rsid w:val="00C85325"/>
    <w:rsid w:val="00C8565D"/>
    <w:rsid w:val="00C905D5"/>
    <w:rsid w:val="00C90EB7"/>
    <w:rsid w:val="00C916AB"/>
    <w:rsid w:val="00C91FDF"/>
    <w:rsid w:val="00C9309A"/>
    <w:rsid w:val="00C93187"/>
    <w:rsid w:val="00C948C3"/>
    <w:rsid w:val="00C94A3B"/>
    <w:rsid w:val="00C95435"/>
    <w:rsid w:val="00C958F5"/>
    <w:rsid w:val="00C964B4"/>
    <w:rsid w:val="00C96EF4"/>
    <w:rsid w:val="00C97AAA"/>
    <w:rsid w:val="00CA0491"/>
    <w:rsid w:val="00CA079B"/>
    <w:rsid w:val="00CA0898"/>
    <w:rsid w:val="00CA0D01"/>
    <w:rsid w:val="00CA3C37"/>
    <w:rsid w:val="00CA4CC9"/>
    <w:rsid w:val="00CA6A02"/>
    <w:rsid w:val="00CA6B28"/>
    <w:rsid w:val="00CA7FCB"/>
    <w:rsid w:val="00CB079F"/>
    <w:rsid w:val="00CB08FD"/>
    <w:rsid w:val="00CB1777"/>
    <w:rsid w:val="00CB37B0"/>
    <w:rsid w:val="00CB3CB2"/>
    <w:rsid w:val="00CB55D0"/>
    <w:rsid w:val="00CB6EB8"/>
    <w:rsid w:val="00CB703F"/>
    <w:rsid w:val="00CB7FD9"/>
    <w:rsid w:val="00CC000A"/>
    <w:rsid w:val="00CC143B"/>
    <w:rsid w:val="00CC1D35"/>
    <w:rsid w:val="00CC1EE9"/>
    <w:rsid w:val="00CC2EE6"/>
    <w:rsid w:val="00CC3FBE"/>
    <w:rsid w:val="00CC50A7"/>
    <w:rsid w:val="00CC61E7"/>
    <w:rsid w:val="00CC71AA"/>
    <w:rsid w:val="00CC7EC2"/>
    <w:rsid w:val="00CD10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F10AB"/>
    <w:rsid w:val="00CF114E"/>
    <w:rsid w:val="00CF23E0"/>
    <w:rsid w:val="00CF26E4"/>
    <w:rsid w:val="00CF26F7"/>
    <w:rsid w:val="00CF29E0"/>
    <w:rsid w:val="00CF2A40"/>
    <w:rsid w:val="00CF2EAD"/>
    <w:rsid w:val="00CF3301"/>
    <w:rsid w:val="00CF3708"/>
    <w:rsid w:val="00CF40D3"/>
    <w:rsid w:val="00CF4BC7"/>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460D"/>
    <w:rsid w:val="00D151D5"/>
    <w:rsid w:val="00D15A59"/>
    <w:rsid w:val="00D15E85"/>
    <w:rsid w:val="00D168C4"/>
    <w:rsid w:val="00D2061B"/>
    <w:rsid w:val="00D20711"/>
    <w:rsid w:val="00D20D21"/>
    <w:rsid w:val="00D20E28"/>
    <w:rsid w:val="00D21372"/>
    <w:rsid w:val="00D220BB"/>
    <w:rsid w:val="00D2306C"/>
    <w:rsid w:val="00D2500C"/>
    <w:rsid w:val="00D2520C"/>
    <w:rsid w:val="00D25BC8"/>
    <w:rsid w:val="00D30A36"/>
    <w:rsid w:val="00D30EB3"/>
    <w:rsid w:val="00D33C64"/>
    <w:rsid w:val="00D340B7"/>
    <w:rsid w:val="00D34601"/>
    <w:rsid w:val="00D35258"/>
    <w:rsid w:val="00D35D63"/>
    <w:rsid w:val="00D36015"/>
    <w:rsid w:val="00D36E8E"/>
    <w:rsid w:val="00D406C2"/>
    <w:rsid w:val="00D40BB0"/>
    <w:rsid w:val="00D414D3"/>
    <w:rsid w:val="00D42456"/>
    <w:rsid w:val="00D4375C"/>
    <w:rsid w:val="00D44BEE"/>
    <w:rsid w:val="00D44D8C"/>
    <w:rsid w:val="00D44DA0"/>
    <w:rsid w:val="00D45616"/>
    <w:rsid w:val="00D473E8"/>
    <w:rsid w:val="00D51661"/>
    <w:rsid w:val="00D51A23"/>
    <w:rsid w:val="00D51A65"/>
    <w:rsid w:val="00D52034"/>
    <w:rsid w:val="00D53409"/>
    <w:rsid w:val="00D536C6"/>
    <w:rsid w:val="00D55578"/>
    <w:rsid w:val="00D5660E"/>
    <w:rsid w:val="00D60864"/>
    <w:rsid w:val="00D62090"/>
    <w:rsid w:val="00D62D62"/>
    <w:rsid w:val="00D6360B"/>
    <w:rsid w:val="00D63843"/>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5D2"/>
    <w:rsid w:val="00D77C63"/>
    <w:rsid w:val="00D77D0F"/>
    <w:rsid w:val="00D80469"/>
    <w:rsid w:val="00D816EB"/>
    <w:rsid w:val="00D82E41"/>
    <w:rsid w:val="00D82F27"/>
    <w:rsid w:val="00D83713"/>
    <w:rsid w:val="00D84204"/>
    <w:rsid w:val="00D8463A"/>
    <w:rsid w:val="00D8708D"/>
    <w:rsid w:val="00D877A6"/>
    <w:rsid w:val="00D8784D"/>
    <w:rsid w:val="00D87DF5"/>
    <w:rsid w:val="00D90C90"/>
    <w:rsid w:val="00D91F7A"/>
    <w:rsid w:val="00D926F6"/>
    <w:rsid w:val="00D92807"/>
    <w:rsid w:val="00D94EB2"/>
    <w:rsid w:val="00D965FD"/>
    <w:rsid w:val="00D96B52"/>
    <w:rsid w:val="00D96C36"/>
    <w:rsid w:val="00DA0646"/>
    <w:rsid w:val="00DA07B7"/>
    <w:rsid w:val="00DA1448"/>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F2"/>
    <w:rsid w:val="00DB2361"/>
    <w:rsid w:val="00DB2542"/>
    <w:rsid w:val="00DB3729"/>
    <w:rsid w:val="00DB3947"/>
    <w:rsid w:val="00DB4F24"/>
    <w:rsid w:val="00DB5655"/>
    <w:rsid w:val="00DB5A1E"/>
    <w:rsid w:val="00DB6321"/>
    <w:rsid w:val="00DB6728"/>
    <w:rsid w:val="00DB6BE7"/>
    <w:rsid w:val="00DB713C"/>
    <w:rsid w:val="00DB723B"/>
    <w:rsid w:val="00DB791E"/>
    <w:rsid w:val="00DC195C"/>
    <w:rsid w:val="00DC30C2"/>
    <w:rsid w:val="00DC44B5"/>
    <w:rsid w:val="00DC4EF8"/>
    <w:rsid w:val="00DC633D"/>
    <w:rsid w:val="00DC659E"/>
    <w:rsid w:val="00DD009B"/>
    <w:rsid w:val="00DD042A"/>
    <w:rsid w:val="00DD0B3E"/>
    <w:rsid w:val="00DD0FAA"/>
    <w:rsid w:val="00DD1A8C"/>
    <w:rsid w:val="00DD29BE"/>
    <w:rsid w:val="00DD2B2E"/>
    <w:rsid w:val="00DD3AD0"/>
    <w:rsid w:val="00DD3FF3"/>
    <w:rsid w:val="00DD46BD"/>
    <w:rsid w:val="00DD4D2E"/>
    <w:rsid w:val="00DD4D5D"/>
    <w:rsid w:val="00DD51BA"/>
    <w:rsid w:val="00DD66C8"/>
    <w:rsid w:val="00DD76AA"/>
    <w:rsid w:val="00DD7C55"/>
    <w:rsid w:val="00DD7F3A"/>
    <w:rsid w:val="00DE03A0"/>
    <w:rsid w:val="00DE117F"/>
    <w:rsid w:val="00DE227A"/>
    <w:rsid w:val="00DE2385"/>
    <w:rsid w:val="00DE39EF"/>
    <w:rsid w:val="00DE4459"/>
    <w:rsid w:val="00DE47CE"/>
    <w:rsid w:val="00DE553A"/>
    <w:rsid w:val="00DE72D5"/>
    <w:rsid w:val="00DE7DA3"/>
    <w:rsid w:val="00DF0D43"/>
    <w:rsid w:val="00DF140E"/>
    <w:rsid w:val="00DF2781"/>
    <w:rsid w:val="00DF4045"/>
    <w:rsid w:val="00DF55CF"/>
    <w:rsid w:val="00DF5CB0"/>
    <w:rsid w:val="00DF641C"/>
    <w:rsid w:val="00DF71EC"/>
    <w:rsid w:val="00DF723F"/>
    <w:rsid w:val="00DF732C"/>
    <w:rsid w:val="00E00D98"/>
    <w:rsid w:val="00E020E1"/>
    <w:rsid w:val="00E02C0C"/>
    <w:rsid w:val="00E02CFE"/>
    <w:rsid w:val="00E02E65"/>
    <w:rsid w:val="00E02F91"/>
    <w:rsid w:val="00E04844"/>
    <w:rsid w:val="00E05163"/>
    <w:rsid w:val="00E05C3C"/>
    <w:rsid w:val="00E063E3"/>
    <w:rsid w:val="00E076D2"/>
    <w:rsid w:val="00E107F6"/>
    <w:rsid w:val="00E136A6"/>
    <w:rsid w:val="00E13F31"/>
    <w:rsid w:val="00E140D4"/>
    <w:rsid w:val="00E14594"/>
    <w:rsid w:val="00E15A22"/>
    <w:rsid w:val="00E169AF"/>
    <w:rsid w:val="00E16A73"/>
    <w:rsid w:val="00E16C50"/>
    <w:rsid w:val="00E16EA5"/>
    <w:rsid w:val="00E20214"/>
    <w:rsid w:val="00E204A4"/>
    <w:rsid w:val="00E205FD"/>
    <w:rsid w:val="00E240CA"/>
    <w:rsid w:val="00E2428C"/>
    <w:rsid w:val="00E24872"/>
    <w:rsid w:val="00E248FE"/>
    <w:rsid w:val="00E2562D"/>
    <w:rsid w:val="00E25F48"/>
    <w:rsid w:val="00E277C6"/>
    <w:rsid w:val="00E301FA"/>
    <w:rsid w:val="00E31E9C"/>
    <w:rsid w:val="00E32208"/>
    <w:rsid w:val="00E325CC"/>
    <w:rsid w:val="00E32D36"/>
    <w:rsid w:val="00E330ED"/>
    <w:rsid w:val="00E339FA"/>
    <w:rsid w:val="00E33CD6"/>
    <w:rsid w:val="00E341A4"/>
    <w:rsid w:val="00E34D8F"/>
    <w:rsid w:val="00E402E5"/>
    <w:rsid w:val="00E40D5D"/>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1FC"/>
    <w:rsid w:val="00E6137F"/>
    <w:rsid w:val="00E6184C"/>
    <w:rsid w:val="00E6188F"/>
    <w:rsid w:val="00E62336"/>
    <w:rsid w:val="00E63A80"/>
    <w:rsid w:val="00E63D1F"/>
    <w:rsid w:val="00E642C7"/>
    <w:rsid w:val="00E64F3C"/>
    <w:rsid w:val="00E66D05"/>
    <w:rsid w:val="00E66D93"/>
    <w:rsid w:val="00E67662"/>
    <w:rsid w:val="00E67849"/>
    <w:rsid w:val="00E67B7A"/>
    <w:rsid w:val="00E70575"/>
    <w:rsid w:val="00E719D2"/>
    <w:rsid w:val="00E72CB8"/>
    <w:rsid w:val="00E73553"/>
    <w:rsid w:val="00E73612"/>
    <w:rsid w:val="00E73ED9"/>
    <w:rsid w:val="00E74A73"/>
    <w:rsid w:val="00E7534F"/>
    <w:rsid w:val="00E7715C"/>
    <w:rsid w:val="00E81A13"/>
    <w:rsid w:val="00E8375F"/>
    <w:rsid w:val="00E83AE9"/>
    <w:rsid w:val="00E84A33"/>
    <w:rsid w:val="00E8525C"/>
    <w:rsid w:val="00E86F86"/>
    <w:rsid w:val="00E878ED"/>
    <w:rsid w:val="00E879A5"/>
    <w:rsid w:val="00E87D7F"/>
    <w:rsid w:val="00E90CFE"/>
    <w:rsid w:val="00E9518D"/>
    <w:rsid w:val="00E95236"/>
    <w:rsid w:val="00E956FC"/>
    <w:rsid w:val="00E96F72"/>
    <w:rsid w:val="00EA077A"/>
    <w:rsid w:val="00EA0CA3"/>
    <w:rsid w:val="00EA1017"/>
    <w:rsid w:val="00EA15AB"/>
    <w:rsid w:val="00EA1C16"/>
    <w:rsid w:val="00EA3619"/>
    <w:rsid w:val="00EA4046"/>
    <w:rsid w:val="00EA555A"/>
    <w:rsid w:val="00EA5561"/>
    <w:rsid w:val="00EA5CC2"/>
    <w:rsid w:val="00EA64A5"/>
    <w:rsid w:val="00EA6533"/>
    <w:rsid w:val="00EB1838"/>
    <w:rsid w:val="00EB48DC"/>
    <w:rsid w:val="00EB4C1B"/>
    <w:rsid w:val="00EB572F"/>
    <w:rsid w:val="00EB5CFC"/>
    <w:rsid w:val="00EB689A"/>
    <w:rsid w:val="00EB6B85"/>
    <w:rsid w:val="00EB77D2"/>
    <w:rsid w:val="00EB7AD4"/>
    <w:rsid w:val="00EB7D20"/>
    <w:rsid w:val="00EC0C57"/>
    <w:rsid w:val="00EC4AB7"/>
    <w:rsid w:val="00EC58DD"/>
    <w:rsid w:val="00EC6EFD"/>
    <w:rsid w:val="00EC7327"/>
    <w:rsid w:val="00EC7BE5"/>
    <w:rsid w:val="00EC7DF0"/>
    <w:rsid w:val="00ED3AC3"/>
    <w:rsid w:val="00ED3F0E"/>
    <w:rsid w:val="00ED47E4"/>
    <w:rsid w:val="00ED63FB"/>
    <w:rsid w:val="00ED68C4"/>
    <w:rsid w:val="00ED7208"/>
    <w:rsid w:val="00EE02CC"/>
    <w:rsid w:val="00EE076E"/>
    <w:rsid w:val="00EE0E27"/>
    <w:rsid w:val="00EE215D"/>
    <w:rsid w:val="00EE22EA"/>
    <w:rsid w:val="00EE461F"/>
    <w:rsid w:val="00EE5717"/>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DE"/>
    <w:rsid w:val="00F01696"/>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3184"/>
    <w:rsid w:val="00F246DF"/>
    <w:rsid w:val="00F25058"/>
    <w:rsid w:val="00F25322"/>
    <w:rsid w:val="00F25E68"/>
    <w:rsid w:val="00F2637F"/>
    <w:rsid w:val="00F267A5"/>
    <w:rsid w:val="00F30CA5"/>
    <w:rsid w:val="00F31D40"/>
    <w:rsid w:val="00F332E8"/>
    <w:rsid w:val="00F342F7"/>
    <w:rsid w:val="00F35026"/>
    <w:rsid w:val="00F35807"/>
    <w:rsid w:val="00F35DE2"/>
    <w:rsid w:val="00F40162"/>
    <w:rsid w:val="00F403A9"/>
    <w:rsid w:val="00F403C1"/>
    <w:rsid w:val="00F41E8C"/>
    <w:rsid w:val="00F42025"/>
    <w:rsid w:val="00F431A4"/>
    <w:rsid w:val="00F43ACE"/>
    <w:rsid w:val="00F43B92"/>
    <w:rsid w:val="00F44ED3"/>
    <w:rsid w:val="00F4540D"/>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1242"/>
    <w:rsid w:val="00F61616"/>
    <w:rsid w:val="00F6248B"/>
    <w:rsid w:val="00F62E6E"/>
    <w:rsid w:val="00F65CDF"/>
    <w:rsid w:val="00F66751"/>
    <w:rsid w:val="00F707E1"/>
    <w:rsid w:val="00F711A0"/>
    <w:rsid w:val="00F71B34"/>
    <w:rsid w:val="00F71DCF"/>
    <w:rsid w:val="00F71FFA"/>
    <w:rsid w:val="00F72690"/>
    <w:rsid w:val="00F727DC"/>
    <w:rsid w:val="00F735D3"/>
    <w:rsid w:val="00F739C0"/>
    <w:rsid w:val="00F73C94"/>
    <w:rsid w:val="00F75F09"/>
    <w:rsid w:val="00F80597"/>
    <w:rsid w:val="00F812AB"/>
    <w:rsid w:val="00F8220C"/>
    <w:rsid w:val="00F82B8A"/>
    <w:rsid w:val="00F82E81"/>
    <w:rsid w:val="00F839C5"/>
    <w:rsid w:val="00F8471B"/>
    <w:rsid w:val="00F84E5F"/>
    <w:rsid w:val="00F84F44"/>
    <w:rsid w:val="00F85995"/>
    <w:rsid w:val="00F859EA"/>
    <w:rsid w:val="00F85BC1"/>
    <w:rsid w:val="00F85F05"/>
    <w:rsid w:val="00F86379"/>
    <w:rsid w:val="00F86EC9"/>
    <w:rsid w:val="00F87BB7"/>
    <w:rsid w:val="00F87FCA"/>
    <w:rsid w:val="00F918D1"/>
    <w:rsid w:val="00F9368A"/>
    <w:rsid w:val="00F93C86"/>
    <w:rsid w:val="00F946C8"/>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4423"/>
    <w:rsid w:val="00FA4B8F"/>
    <w:rsid w:val="00FA4F5E"/>
    <w:rsid w:val="00FA5580"/>
    <w:rsid w:val="00FA61E8"/>
    <w:rsid w:val="00FA7412"/>
    <w:rsid w:val="00FB0C7E"/>
    <w:rsid w:val="00FB13CE"/>
    <w:rsid w:val="00FB2DC9"/>
    <w:rsid w:val="00FB31E2"/>
    <w:rsid w:val="00FB3F86"/>
    <w:rsid w:val="00FB446E"/>
    <w:rsid w:val="00FB4D36"/>
    <w:rsid w:val="00FB54A9"/>
    <w:rsid w:val="00FB5C35"/>
    <w:rsid w:val="00FB61E9"/>
    <w:rsid w:val="00FB6C3A"/>
    <w:rsid w:val="00FB778B"/>
    <w:rsid w:val="00FB7DCB"/>
    <w:rsid w:val="00FC148B"/>
    <w:rsid w:val="00FC1BC1"/>
    <w:rsid w:val="00FC2032"/>
    <w:rsid w:val="00FC2F8F"/>
    <w:rsid w:val="00FC3A9C"/>
    <w:rsid w:val="00FC3FC9"/>
    <w:rsid w:val="00FC427E"/>
    <w:rsid w:val="00FC4A42"/>
    <w:rsid w:val="00FC508C"/>
    <w:rsid w:val="00FC53F7"/>
    <w:rsid w:val="00FC7864"/>
    <w:rsid w:val="00FC7D9D"/>
    <w:rsid w:val="00FD0BD0"/>
    <w:rsid w:val="00FD0CA3"/>
    <w:rsid w:val="00FD0D47"/>
    <w:rsid w:val="00FD149D"/>
    <w:rsid w:val="00FD24D9"/>
    <w:rsid w:val="00FD2AF5"/>
    <w:rsid w:val="00FD3D26"/>
    <w:rsid w:val="00FD450A"/>
    <w:rsid w:val="00FD4B58"/>
    <w:rsid w:val="00FD5180"/>
    <w:rsid w:val="00FD5CE7"/>
    <w:rsid w:val="00FD7550"/>
    <w:rsid w:val="00FE005A"/>
    <w:rsid w:val="00FE0D1F"/>
    <w:rsid w:val="00FE199A"/>
    <w:rsid w:val="00FE1A93"/>
    <w:rsid w:val="00FE2AF7"/>
    <w:rsid w:val="00FE2D70"/>
    <w:rsid w:val="00FE4F02"/>
    <w:rsid w:val="00FE57CE"/>
    <w:rsid w:val="00FE64C9"/>
    <w:rsid w:val="00FF06A6"/>
    <w:rsid w:val="00FF159A"/>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sz w:val="22"/>
      <w:szCs w:val="22"/>
      <w:lang w:val="en-GB" w:eastAsia="en-US"/>
    </w:rPr>
  </w:style>
  <w:style w:type="paragraph" w:styleId="Overskrift1">
    <w:name w:val="heading 1"/>
    <w:basedOn w:val="Header1"/>
    <w:next w:val="Normal"/>
    <w:qFormat/>
    <w:rsid w:val="00D6568D"/>
    <w:pPr>
      <w:spacing w:before="240" w:after="240"/>
      <w:ind w:right="-301"/>
      <w:outlineLvl w:val="0"/>
    </w:pPr>
    <w:rPr>
      <w:rFonts w:ascii="Calibri" w:hAnsi="Calibri"/>
      <w:i w:val="0"/>
      <w:sz w:val="28"/>
    </w:rPr>
  </w:style>
  <w:style w:type="paragraph" w:styleId="Overskrift2">
    <w:name w:val="heading 2"/>
    <w:basedOn w:val="Normal"/>
    <w:next w:val="Normal"/>
    <w:link w:val="Overskrift2Tegn"/>
    <w:qFormat/>
    <w:rsid w:val="00497179"/>
    <w:pPr>
      <w:keepNext/>
      <w:spacing w:before="240" w:after="60"/>
      <w:outlineLvl w:val="1"/>
    </w:pPr>
    <w:rPr>
      <w:rFonts w:eastAsia="Times New Roman"/>
      <w:b/>
      <w:bCs/>
      <w:iCs/>
      <w:sz w:val="24"/>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Question">
    <w:name w:val="Question"/>
    <w:basedOn w:val="Normal"/>
    <w:link w:val="QuestionChar"/>
    <w:qFormat/>
    <w:rsid w:val="00921206"/>
    <w:pPr>
      <w:spacing w:before="120" w:after="0" w:line="240" w:lineRule="auto"/>
      <w:jc w:val="both"/>
    </w:pPr>
    <w:rPr>
      <w:rFonts w:ascii="Times New Roman" w:eastAsia="Times New Roman" w:hAnsi="Times New Roman"/>
      <w:b/>
      <w:bCs/>
      <w:i/>
      <w:sz w:val="24"/>
      <w:szCs w:val="24"/>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Sidehoved">
    <w:name w:val="header"/>
    <w:basedOn w:val="Normal"/>
    <w:link w:val="SidehovedTegn"/>
    <w:unhideWhenUsed/>
    <w:rsid w:val="00B23CF5"/>
    <w:pPr>
      <w:tabs>
        <w:tab w:val="center" w:pos="4513"/>
        <w:tab w:val="right" w:pos="9026"/>
      </w:tabs>
      <w:spacing w:after="0" w:line="240" w:lineRule="auto"/>
    </w:pPr>
  </w:style>
  <w:style w:type="character" w:customStyle="1" w:styleId="SidehovedTegn">
    <w:name w:val="Sidehoved Tegn"/>
    <w:basedOn w:val="Standardskrifttypeiafsnit"/>
    <w:link w:val="Sidehoved"/>
    <w:rsid w:val="00B23CF5"/>
  </w:style>
  <w:style w:type="paragraph" w:styleId="Sidefod">
    <w:name w:val="footer"/>
    <w:basedOn w:val="Normal"/>
    <w:link w:val="SidefodTegn"/>
    <w:uiPriority w:val="99"/>
    <w:unhideWhenUsed/>
    <w:rsid w:val="00B23CF5"/>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B23CF5"/>
  </w:style>
  <w:style w:type="paragraph" w:styleId="Markeringsbobletekst">
    <w:name w:val="Balloon Text"/>
    <w:basedOn w:val="Normal"/>
    <w:link w:val="MarkeringsbobletekstTegn"/>
    <w:uiPriority w:val="99"/>
    <w:semiHidden/>
    <w:unhideWhenUsed/>
    <w:rsid w:val="00B23CF5"/>
    <w:pPr>
      <w:spacing w:after="0" w:line="240" w:lineRule="auto"/>
    </w:pPr>
    <w:rPr>
      <w:rFonts w:ascii="Tahoma" w:hAnsi="Tahoma"/>
      <w:sz w:val="16"/>
      <w:szCs w:val="16"/>
    </w:rPr>
  </w:style>
  <w:style w:type="character" w:customStyle="1" w:styleId="MarkeringsbobletekstTegn">
    <w:name w:val="Markeringsbobletekst Tegn"/>
    <w:link w:val="Markeringsbobletekst"/>
    <w:uiPriority w:val="99"/>
    <w:semiHidden/>
    <w:rsid w:val="00B23CF5"/>
    <w:rPr>
      <w:rFonts w:ascii="Tahoma" w:hAnsi="Tahoma" w:cs="Tahoma"/>
      <w:sz w:val="16"/>
      <w:szCs w:val="16"/>
    </w:rPr>
  </w:style>
  <w:style w:type="table" w:styleId="Tabel-Gitter">
    <w:name w:val="Table Grid"/>
    <w:basedOn w:val="Tabel-Normal"/>
    <w:rsid w:val="00B23C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622987"/>
    <w:pPr>
      <w:widowControl w:val="0"/>
      <w:spacing w:before="240" w:after="240" w:line="360" w:lineRule="auto"/>
      <w:jc w:val="both"/>
      <w:outlineLvl w:val="0"/>
    </w:pPr>
    <w:rPr>
      <w:rFonts w:ascii="Arial" w:eastAsia="Times New Roman" w:hAnsi="Arial"/>
      <w:b/>
      <w:smallCaps/>
      <w:sz w:val="24"/>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spacing w:before="120" w:after="120" w:line="240" w:lineRule="auto"/>
      <w:ind w:left="709" w:hanging="709"/>
      <w:jc w:val="both"/>
    </w:pPr>
    <w:rPr>
      <w:rFonts w:ascii="Times New Roman" w:eastAsia="Times New Roman" w:hAnsi="Times New Roman"/>
      <w:sz w:val="24"/>
      <w:szCs w:val="24"/>
      <w:lang w:eastAsia="en-GB"/>
    </w:rPr>
  </w:style>
  <w:style w:type="paragraph" w:customStyle="1" w:styleId="Point1">
    <w:name w:val="Point 1"/>
    <w:basedOn w:val="Normal"/>
    <w:rsid w:val="0062444F"/>
    <w:pPr>
      <w:spacing w:before="120" w:after="120" w:line="240" w:lineRule="auto"/>
      <w:ind w:left="1417" w:hanging="567"/>
      <w:jc w:val="both"/>
    </w:pPr>
    <w:rPr>
      <w:rFonts w:ascii="Times New Roman" w:eastAsia="Times New Roman" w:hAnsi="Times New Roman"/>
      <w:sz w:val="24"/>
      <w:szCs w:val="24"/>
      <w:lang w:eastAsia="en-GB"/>
    </w:rPr>
  </w:style>
  <w:style w:type="paragraph" w:styleId="Brdtekstindrykning2">
    <w:name w:val="Body Text Indent 2"/>
    <w:basedOn w:val="Normal"/>
    <w:link w:val="Brdtekstindrykning2Tegn"/>
    <w:rsid w:val="0062444F"/>
    <w:pPr>
      <w:spacing w:before="120" w:after="120" w:line="480" w:lineRule="auto"/>
      <w:ind w:left="283"/>
      <w:jc w:val="both"/>
    </w:pPr>
    <w:rPr>
      <w:rFonts w:ascii="Arial" w:eastAsia="MS Mincho" w:hAnsi="Arial"/>
      <w:szCs w:val="24"/>
      <w:lang w:val="cs-CZ" w:eastAsia="ja-JP"/>
    </w:rPr>
  </w:style>
  <w:style w:type="character" w:customStyle="1" w:styleId="Brdtekstindrykning2Tegn">
    <w:name w:val="Brødtekstindrykning 2 Tegn"/>
    <w:link w:val="Brdtekstindrykning2"/>
    <w:rsid w:val="0062444F"/>
    <w:rPr>
      <w:rFonts w:ascii="Arial" w:eastAsia="MS Mincho" w:hAnsi="Arial"/>
      <w:sz w:val="22"/>
      <w:szCs w:val="24"/>
      <w:lang w:val="cs-CZ" w:eastAsia="ja-JP"/>
    </w:rPr>
  </w:style>
  <w:style w:type="paragraph" w:customStyle="1" w:styleId="Para1">
    <w:name w:val="Para1"/>
    <w:basedOn w:val="Style1"/>
    <w:link w:val="Para1Char"/>
    <w:qFormat/>
    <w:rsid w:val="003C04A6"/>
    <w:pPr>
      <w:spacing w:before="360" w:after="120" w:line="264" w:lineRule="auto"/>
    </w:pPr>
    <w:rPr>
      <w:sz w:val="22"/>
      <w:szCs w:val="22"/>
    </w:rPr>
  </w:style>
  <w:style w:type="paragraph" w:customStyle="1" w:styleId="Para2">
    <w:name w:val="Para2"/>
    <w:basedOn w:val="Style1"/>
    <w:link w:val="Para2Char"/>
    <w:qFormat/>
    <w:rsid w:val="003C04A6"/>
    <w:pPr>
      <w:spacing w:after="120" w:line="264" w:lineRule="auto"/>
    </w:pPr>
    <w:rPr>
      <w:i/>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Kommentarhenvisning">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Kommentartekst">
    <w:name w:val="annotation text"/>
    <w:basedOn w:val="Normal"/>
    <w:link w:val="KommentartekstTegn"/>
    <w:semiHidden/>
    <w:rsid w:val="00A64EC1"/>
    <w:rPr>
      <w:sz w:val="20"/>
      <w:szCs w:val="20"/>
    </w:rPr>
  </w:style>
  <w:style w:type="paragraph" w:styleId="Kommentaremne">
    <w:name w:val="annotation subject"/>
    <w:basedOn w:val="Kommentartekst"/>
    <w:next w:val="Kommentartekst"/>
    <w:semiHidden/>
    <w:rsid w:val="00A64EC1"/>
    <w:rPr>
      <w:b/>
      <w:bCs/>
    </w:rPr>
  </w:style>
  <w:style w:type="character" w:styleId="Fodnotehenvisning">
    <w:name w:val="footnote reference"/>
    <w:semiHidden/>
    <w:rsid w:val="00A57F19"/>
    <w:rPr>
      <w:vertAlign w:val="superscript"/>
    </w:rPr>
  </w:style>
  <w:style w:type="paragraph" w:customStyle="1" w:styleId="Text1">
    <w:name w:val="Text 1"/>
    <w:basedOn w:val="Normal"/>
    <w:rsid w:val="00A57F19"/>
    <w:pPr>
      <w:widowControl w:val="0"/>
      <w:spacing w:before="120" w:after="120" w:line="360" w:lineRule="auto"/>
      <w:ind w:left="850" w:right="-22"/>
      <w:jc w:val="both"/>
    </w:pPr>
    <w:rPr>
      <w:rFonts w:ascii="Arial" w:eastAsia="Times New Roman" w:hAnsi="Arial"/>
      <w:sz w:val="20"/>
      <w:szCs w:val="20"/>
    </w:rPr>
  </w:style>
  <w:style w:type="paragraph" w:customStyle="1" w:styleId="ManualNumPar1">
    <w:name w:val="Manual NumPar 1"/>
    <w:basedOn w:val="Normal"/>
    <w:next w:val="Text1"/>
    <w:rsid w:val="00A57F19"/>
    <w:pPr>
      <w:widowControl w:val="0"/>
      <w:spacing w:before="120" w:after="120" w:line="360" w:lineRule="auto"/>
      <w:ind w:left="850" w:right="-22" w:hanging="850"/>
      <w:jc w:val="both"/>
    </w:pPr>
    <w:rPr>
      <w:rFonts w:ascii="Arial" w:eastAsia="Times New Roman" w:hAnsi="Arial"/>
      <w:sz w:val="20"/>
      <w:szCs w:val="20"/>
    </w:rPr>
  </w:style>
  <w:style w:type="paragraph" w:customStyle="1" w:styleId="Head0">
    <w:name w:val="Head0"/>
    <w:basedOn w:val="Style1"/>
    <w:link w:val="Head0Char"/>
    <w:qFormat/>
    <w:rsid w:val="00A57F19"/>
    <w:pPr>
      <w:keepNext/>
      <w:spacing w:before="480" w:after="120" w:line="288" w:lineRule="auto"/>
      <w:ind w:right="-23"/>
    </w:pPr>
  </w:style>
  <w:style w:type="paragraph" w:customStyle="1" w:styleId="Foot">
    <w:name w:val="Foot"/>
    <w:basedOn w:val="Normal"/>
    <w:link w:val="FootChar"/>
    <w:qFormat/>
    <w:rsid w:val="00A57F19"/>
    <w:pPr>
      <w:widowControl w:val="0"/>
      <w:spacing w:before="120" w:after="0" w:line="264" w:lineRule="auto"/>
      <w:ind w:right="-22"/>
      <w:jc w:val="both"/>
    </w:pPr>
    <w:rPr>
      <w:rFonts w:ascii="Arial" w:hAnsi="Arial"/>
      <w:i/>
      <w:sz w:val="18"/>
      <w:szCs w:val="18"/>
      <w:lang w:eastAsia="nl-NL"/>
    </w:rPr>
  </w:style>
  <w:style w:type="character" w:customStyle="1" w:styleId="Head0Char">
    <w:name w:val="Head0 Char"/>
    <w:link w:val="Head0"/>
    <w:rsid w:val="00A57F19"/>
    <w:rPr>
      <w:rFonts w:ascii="Arial" w:eastAsia="Times New Roman" w:hAnsi="Arial"/>
      <w:b/>
      <w:smallCaps/>
      <w:sz w:val="24"/>
      <w:szCs w:val="24"/>
      <w:u w:val="single"/>
      <w:lang w:val="en-GB" w:eastAsia="nl-NL" w:bidi="ar-SA"/>
    </w:rPr>
  </w:style>
  <w:style w:type="character" w:customStyle="1" w:styleId="FootChar">
    <w:name w:val="Foot Char"/>
    <w:link w:val="Foot"/>
    <w:rsid w:val="00A57F19"/>
    <w:rPr>
      <w:rFonts w:ascii="Arial" w:hAnsi="Arial"/>
      <w:i/>
      <w:sz w:val="18"/>
      <w:szCs w:val="18"/>
      <w:lang w:val="en-GB" w:eastAsia="nl-NL" w:bidi="ar-SA"/>
    </w:rPr>
  </w:style>
  <w:style w:type="paragraph" w:customStyle="1" w:styleId="Txt">
    <w:name w:val="Txt"/>
    <w:basedOn w:val="Normal"/>
    <w:link w:val="TxtChar"/>
    <w:qFormat/>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rsid w:val="00A57F19"/>
    <w:rPr>
      <w:rFonts w:ascii="Arial" w:hAnsi="Arial"/>
      <w:lang w:val="cs-CZ" w:eastAsia="nl-NL" w:bidi="ar-SA"/>
    </w:rPr>
  </w:style>
  <w:style w:type="paragraph" w:customStyle="1" w:styleId="Header0">
    <w:name w:val="Header0"/>
    <w:basedOn w:val="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Sidetal">
    <w:name w:val="page number"/>
    <w:basedOn w:val="Standardskrifttypeiafsnit"/>
    <w:rsid w:val="00335742"/>
  </w:style>
  <w:style w:type="paragraph" w:styleId="NormalWeb">
    <w:name w:val="Normal (Web)"/>
    <w:basedOn w:val="Normal"/>
    <w:uiPriority w:val="99"/>
    <w:unhideWhenUsed/>
    <w:rsid w:val="00E8525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grey1">
    <w:name w:val="grey1"/>
    <w:rsid w:val="00E8525C"/>
    <w:rPr>
      <w:color w:val="666666"/>
    </w:rPr>
  </w:style>
  <w:style w:type="paragraph" w:styleId="Dokumentoversigt">
    <w:name w:val="Document Map"/>
    <w:basedOn w:val="Normal"/>
    <w:link w:val="DokumentoversigtTegn"/>
    <w:uiPriority w:val="99"/>
    <w:semiHidden/>
    <w:unhideWhenUsed/>
    <w:rsid w:val="00107861"/>
    <w:rPr>
      <w:rFonts w:ascii="Tahoma" w:hAnsi="Tahoma"/>
      <w:sz w:val="16"/>
      <w:szCs w:val="16"/>
    </w:rPr>
  </w:style>
  <w:style w:type="character" w:customStyle="1" w:styleId="DokumentoversigtTegn">
    <w:name w:val="Dokumentoversigt Tegn"/>
    <w:link w:val="Dokumentoversigt"/>
    <w:uiPriority w:val="99"/>
    <w:semiHidden/>
    <w:rsid w:val="00107861"/>
    <w:rPr>
      <w:rFonts w:ascii="Tahoma" w:hAnsi="Tahoma" w:cs="Tahoma"/>
      <w:sz w:val="16"/>
      <w:szCs w:val="16"/>
      <w:lang w:val="en-GB"/>
    </w:rPr>
  </w:style>
  <w:style w:type="paragraph" w:customStyle="1" w:styleId="Default">
    <w:name w:val="Default"/>
    <w:rsid w:val="00DA3531"/>
    <w:pPr>
      <w:autoSpaceDE w:val="0"/>
      <w:autoSpaceDN w:val="0"/>
      <w:adjustRightInd w:val="0"/>
    </w:pPr>
    <w:rPr>
      <w:rFonts w:cs="Calibri"/>
      <w:color w:val="000000"/>
      <w:sz w:val="24"/>
      <w:szCs w:val="24"/>
      <w:lang w:val="en-GB" w:eastAsia="en-GB"/>
    </w:rPr>
  </w:style>
  <w:style w:type="character" w:customStyle="1" w:styleId="Overskrift2Tegn">
    <w:name w:val="Overskrift 2 Tegn"/>
    <w:link w:val="Overskrift2"/>
    <w:rsid w:val="00497179"/>
    <w:rPr>
      <w:rFonts w:ascii="Calibri" w:eastAsia="Times New Roman" w:hAnsi="Calibri"/>
      <w:b/>
      <w:bCs/>
      <w:iCs/>
      <w:sz w:val="24"/>
      <w:szCs w:val="28"/>
    </w:rPr>
  </w:style>
  <w:style w:type="paragraph" w:styleId="Listeafsnit">
    <w:name w:val="List Paragraph"/>
    <w:basedOn w:val="Normal"/>
    <w:uiPriority w:val="34"/>
    <w:qFormat/>
    <w:rsid w:val="00B24F03"/>
    <w:pPr>
      <w:ind w:left="720"/>
      <w:contextualSpacing/>
    </w:pPr>
  </w:style>
  <w:style w:type="paragraph" w:styleId="Overskrift">
    <w:name w:val="TOC Heading"/>
    <w:basedOn w:val="Overskrift1"/>
    <w:next w:val="Normal"/>
    <w:uiPriority w:val="39"/>
    <w:qFormat/>
    <w:rsid w:val="00D731EF"/>
    <w:pPr>
      <w:keepNext/>
      <w:keepLines/>
      <w:spacing w:before="480" w:after="0"/>
      <w:ind w:right="0"/>
      <w:outlineLvl w:val="9"/>
    </w:pPr>
    <w:rPr>
      <w:rFonts w:ascii="Cambria" w:eastAsia="Times New Roman" w:hAnsi="Cambria" w:cs="Times New Roman"/>
      <w:i/>
      <w:color w:val="365F91"/>
      <w:szCs w:val="28"/>
      <w:lang w:val="en-US" w:eastAsia="ja-JP"/>
    </w:rPr>
  </w:style>
  <w:style w:type="paragraph" w:styleId="Indholdsfortegnelse1">
    <w:name w:val="toc 1"/>
    <w:basedOn w:val="Normal"/>
    <w:next w:val="Normal"/>
    <w:autoRedefine/>
    <w:uiPriority w:val="39"/>
    <w:unhideWhenUsed/>
    <w:rsid w:val="00D731EF"/>
    <w:pPr>
      <w:spacing w:after="100"/>
    </w:pPr>
  </w:style>
  <w:style w:type="paragraph" w:styleId="Indholdsfortegnelse2">
    <w:name w:val="toc 2"/>
    <w:basedOn w:val="Normal"/>
    <w:next w:val="Normal"/>
    <w:autoRedefine/>
    <w:uiPriority w:val="39"/>
    <w:unhideWhenUsed/>
    <w:rsid w:val="00D731EF"/>
    <w:pPr>
      <w:spacing w:after="100"/>
      <w:ind w:left="220"/>
    </w:pPr>
  </w:style>
  <w:style w:type="paragraph" w:customStyle="1" w:styleId="Paragraphedeliste">
    <w:name w:val="Paragraphe de liste"/>
    <w:basedOn w:val="Normal"/>
    <w:uiPriority w:val="34"/>
    <w:qFormat/>
    <w:rsid w:val="00A613FD"/>
    <w:pPr>
      <w:ind w:left="708"/>
    </w:pPr>
  </w:style>
  <w:style w:type="paragraph" w:styleId="Korrektur">
    <w:name w:val="Revision"/>
    <w:hidden/>
    <w:uiPriority w:val="99"/>
    <w:semiHidden/>
    <w:rsid w:val="00E72CB8"/>
    <w:rPr>
      <w:sz w:val="22"/>
      <w:szCs w:val="22"/>
      <w:lang w:val="en-GB" w:eastAsia="en-US"/>
    </w:rPr>
  </w:style>
  <w:style w:type="paragraph" w:styleId="Fodnotetekst">
    <w:name w:val="footnote text"/>
    <w:basedOn w:val="Normal"/>
    <w:link w:val="FodnotetekstTegn"/>
    <w:uiPriority w:val="99"/>
    <w:semiHidden/>
    <w:unhideWhenUsed/>
    <w:rsid w:val="009122C9"/>
    <w:rPr>
      <w:sz w:val="20"/>
      <w:szCs w:val="20"/>
    </w:rPr>
  </w:style>
  <w:style w:type="character" w:customStyle="1" w:styleId="FodnotetekstTegn">
    <w:name w:val="Fodnotetekst Tegn"/>
    <w:link w:val="Fodnotetekst"/>
    <w:uiPriority w:val="99"/>
    <w:semiHidden/>
    <w:rsid w:val="009122C9"/>
    <w:rPr>
      <w:lang w:eastAsia="en-US"/>
    </w:rPr>
  </w:style>
  <w:style w:type="character" w:customStyle="1" w:styleId="KommentartekstTegn">
    <w:name w:val="Kommentartekst Tegn"/>
    <w:link w:val="Kommentartekst"/>
    <w:semiHidden/>
    <w:locked/>
    <w:rsid w:val="00DA469A"/>
    <w:rPr>
      <w:lang w:eastAsia="en-US"/>
    </w:rPr>
  </w:style>
</w:styles>
</file>

<file path=word/webSettings.xml><?xml version="1.0" encoding="utf-8"?>
<w:webSettings xmlns:r="http://schemas.openxmlformats.org/officeDocument/2006/relationships" xmlns:w="http://schemas.openxmlformats.org/wordprocessingml/2006/main">
  <w:divs>
    <w:div w:id="76824914">
      <w:bodyDiv w:val="1"/>
      <w:marLeft w:val="0"/>
      <w:marRight w:val="0"/>
      <w:marTop w:val="0"/>
      <w:marBottom w:val="0"/>
      <w:divBdr>
        <w:top w:val="none" w:sz="0" w:space="0" w:color="auto"/>
        <w:left w:val="none" w:sz="0" w:space="0" w:color="auto"/>
        <w:bottom w:val="none" w:sz="0" w:space="0" w:color="auto"/>
        <w:right w:val="none" w:sz="0" w:space="0" w:color="auto"/>
      </w:divBdr>
    </w:div>
    <w:div w:id="236596621">
      <w:bodyDiv w:val="1"/>
      <w:marLeft w:val="0"/>
      <w:marRight w:val="0"/>
      <w:marTop w:val="0"/>
      <w:marBottom w:val="0"/>
      <w:divBdr>
        <w:top w:val="none" w:sz="0" w:space="0" w:color="auto"/>
        <w:left w:val="none" w:sz="0" w:space="0" w:color="auto"/>
        <w:bottom w:val="none" w:sz="0" w:space="0" w:color="auto"/>
        <w:right w:val="none" w:sz="0" w:space="0" w:color="auto"/>
      </w:divBdr>
    </w:div>
    <w:div w:id="329451989">
      <w:bodyDiv w:val="1"/>
      <w:marLeft w:val="0"/>
      <w:marRight w:val="0"/>
      <w:marTop w:val="0"/>
      <w:marBottom w:val="0"/>
      <w:divBdr>
        <w:top w:val="none" w:sz="0" w:space="0" w:color="auto"/>
        <w:left w:val="none" w:sz="0" w:space="0" w:color="auto"/>
        <w:bottom w:val="none" w:sz="0" w:space="0" w:color="auto"/>
        <w:right w:val="none" w:sz="0" w:space="0" w:color="auto"/>
      </w:divBdr>
    </w:div>
    <w:div w:id="534855721">
      <w:bodyDiv w:val="1"/>
      <w:marLeft w:val="0"/>
      <w:marRight w:val="0"/>
      <w:marTop w:val="0"/>
      <w:marBottom w:val="0"/>
      <w:divBdr>
        <w:top w:val="none" w:sz="0" w:space="0" w:color="auto"/>
        <w:left w:val="none" w:sz="0" w:space="0" w:color="auto"/>
        <w:bottom w:val="none" w:sz="0" w:space="0" w:color="auto"/>
        <w:right w:val="none" w:sz="0" w:space="0" w:color="auto"/>
      </w:divBdr>
    </w:div>
    <w:div w:id="866795128">
      <w:bodyDiv w:val="1"/>
      <w:marLeft w:val="0"/>
      <w:marRight w:val="0"/>
      <w:marTop w:val="0"/>
      <w:marBottom w:val="0"/>
      <w:divBdr>
        <w:top w:val="none" w:sz="0" w:space="0" w:color="auto"/>
        <w:left w:val="none" w:sz="0" w:space="0" w:color="auto"/>
        <w:bottom w:val="none" w:sz="0" w:space="0" w:color="auto"/>
        <w:right w:val="none" w:sz="0" w:space="0" w:color="auto"/>
      </w:divBdr>
    </w:div>
    <w:div w:id="1194541185">
      <w:bodyDiv w:val="1"/>
      <w:marLeft w:val="0"/>
      <w:marRight w:val="0"/>
      <w:marTop w:val="0"/>
      <w:marBottom w:val="0"/>
      <w:divBdr>
        <w:top w:val="none" w:sz="0" w:space="0" w:color="auto"/>
        <w:left w:val="none" w:sz="0" w:space="0" w:color="auto"/>
        <w:bottom w:val="none" w:sz="0" w:space="0" w:color="auto"/>
        <w:right w:val="none" w:sz="0" w:space="0" w:color="auto"/>
      </w:divBdr>
    </w:div>
    <w:div w:id="1452549584">
      <w:bodyDiv w:val="1"/>
      <w:marLeft w:val="0"/>
      <w:marRight w:val="0"/>
      <w:marTop w:val="0"/>
      <w:marBottom w:val="0"/>
      <w:divBdr>
        <w:top w:val="none" w:sz="0" w:space="0" w:color="auto"/>
        <w:left w:val="none" w:sz="0" w:space="0" w:color="auto"/>
        <w:bottom w:val="none" w:sz="0" w:space="0" w:color="auto"/>
        <w:right w:val="none" w:sz="0" w:space="0" w:color="auto"/>
      </w:divBdr>
      <w:divsChild>
        <w:div w:id="456143436">
          <w:marLeft w:val="1166"/>
          <w:marRight w:val="0"/>
          <w:marTop w:val="240"/>
          <w:marBottom w:val="0"/>
          <w:divBdr>
            <w:top w:val="none" w:sz="0" w:space="0" w:color="auto"/>
            <w:left w:val="none" w:sz="0" w:space="0" w:color="auto"/>
            <w:bottom w:val="none" w:sz="0" w:space="0" w:color="auto"/>
            <w:right w:val="none" w:sz="0" w:space="0" w:color="auto"/>
          </w:divBdr>
        </w:div>
        <w:div w:id="773477387">
          <w:marLeft w:val="778"/>
          <w:marRight w:val="0"/>
          <w:marTop w:val="240"/>
          <w:marBottom w:val="0"/>
          <w:divBdr>
            <w:top w:val="none" w:sz="0" w:space="0" w:color="auto"/>
            <w:left w:val="none" w:sz="0" w:space="0" w:color="auto"/>
            <w:bottom w:val="none" w:sz="0" w:space="0" w:color="auto"/>
            <w:right w:val="none" w:sz="0" w:space="0" w:color="auto"/>
          </w:divBdr>
        </w:div>
        <w:div w:id="1189641022">
          <w:marLeft w:val="778"/>
          <w:marRight w:val="0"/>
          <w:marTop w:val="240"/>
          <w:marBottom w:val="0"/>
          <w:divBdr>
            <w:top w:val="none" w:sz="0" w:space="0" w:color="auto"/>
            <w:left w:val="none" w:sz="0" w:space="0" w:color="auto"/>
            <w:bottom w:val="none" w:sz="0" w:space="0" w:color="auto"/>
            <w:right w:val="none" w:sz="0" w:space="0" w:color="auto"/>
          </w:divBdr>
        </w:div>
        <w:div w:id="1340237635">
          <w:marLeft w:val="1166"/>
          <w:marRight w:val="0"/>
          <w:marTop w:val="240"/>
          <w:marBottom w:val="0"/>
          <w:divBdr>
            <w:top w:val="none" w:sz="0" w:space="0" w:color="auto"/>
            <w:left w:val="none" w:sz="0" w:space="0" w:color="auto"/>
            <w:bottom w:val="none" w:sz="0" w:space="0" w:color="auto"/>
            <w:right w:val="none" w:sz="0" w:space="0" w:color="auto"/>
          </w:divBdr>
        </w:div>
        <w:div w:id="1954941091">
          <w:marLeft w:val="1166"/>
          <w:marRight w:val="0"/>
          <w:marTop w:val="240"/>
          <w:marBottom w:val="0"/>
          <w:divBdr>
            <w:top w:val="none" w:sz="0" w:space="0" w:color="auto"/>
            <w:left w:val="none" w:sz="0" w:space="0" w:color="auto"/>
            <w:bottom w:val="none" w:sz="0" w:space="0" w:color="auto"/>
            <w:right w:val="none" w:sz="0" w:space="0" w:color="auto"/>
          </w:divBdr>
        </w:div>
      </w:divsChild>
    </w:div>
    <w:div w:id="1462730257">
      <w:bodyDiv w:val="1"/>
      <w:marLeft w:val="0"/>
      <w:marRight w:val="0"/>
      <w:marTop w:val="0"/>
      <w:marBottom w:val="0"/>
      <w:divBdr>
        <w:top w:val="none" w:sz="0" w:space="0" w:color="auto"/>
        <w:left w:val="none" w:sz="0" w:space="0" w:color="auto"/>
        <w:bottom w:val="none" w:sz="0" w:space="0" w:color="auto"/>
        <w:right w:val="none" w:sz="0" w:space="0" w:color="auto"/>
      </w:divBdr>
    </w:div>
    <w:div w:id="1559197534">
      <w:bodyDiv w:val="1"/>
      <w:marLeft w:val="0"/>
      <w:marRight w:val="0"/>
      <w:marTop w:val="0"/>
      <w:marBottom w:val="0"/>
      <w:divBdr>
        <w:top w:val="none" w:sz="0" w:space="0" w:color="auto"/>
        <w:left w:val="none" w:sz="0" w:space="0" w:color="auto"/>
        <w:bottom w:val="none" w:sz="0" w:space="0" w:color="auto"/>
        <w:right w:val="none" w:sz="0" w:space="0" w:color="auto"/>
      </w:divBdr>
    </w:div>
    <w:div w:id="1705011136">
      <w:bodyDiv w:val="1"/>
      <w:marLeft w:val="0"/>
      <w:marRight w:val="0"/>
      <w:marTop w:val="0"/>
      <w:marBottom w:val="0"/>
      <w:divBdr>
        <w:top w:val="none" w:sz="0" w:space="0" w:color="auto"/>
        <w:left w:val="none" w:sz="0" w:space="0" w:color="auto"/>
        <w:bottom w:val="none" w:sz="0" w:space="0" w:color="auto"/>
        <w:right w:val="none" w:sz="0" w:space="0" w:color="auto"/>
      </w:divBdr>
    </w:div>
    <w:div w:id="183417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entsog.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vaped\AppData\Local\Microsoft\Windows\Temporary%20Internet%20Files\Rg1563\Local%20Settings\Temporary%20Internet%20Files\AppData\Local\Microsoft\Windows\Temporary%20Internet%20Files\Low\Content.IE5\VYR5GE1D\www.entsog.eu" TargetMode="External"/><Relationship Id="rId4" Type="http://schemas.openxmlformats.org/officeDocument/2006/relationships/settings" Target="settings.xml"/><Relationship Id="rId9" Type="http://schemas.openxmlformats.org/officeDocument/2006/relationships/hyperlink" Target="mailto:vaped@dongenergy.dk"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4085F-89D6-4566-9EA6-8FDC391E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8</Pages>
  <Words>2186</Words>
  <Characters>13341</Characters>
  <Application>Microsoft Office Word</Application>
  <DocSecurity>0</DocSecurity>
  <Lines>111</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Transparency</vt:lpstr>
      <vt:lpstr>Transparency</vt:lpstr>
    </vt:vector>
  </TitlesOfParts>
  <Company>Microsoft</Company>
  <LinksUpToDate>false</LinksUpToDate>
  <CharactersWithSpaces>15497</CharactersWithSpaces>
  <SharedDoc>false</SharedDoc>
  <HLinks>
    <vt:vector size="18" baseType="variant">
      <vt:variant>
        <vt:i4>327703</vt:i4>
      </vt:variant>
      <vt:variant>
        <vt:i4>3</vt:i4>
      </vt:variant>
      <vt:variant>
        <vt:i4>0</vt:i4>
      </vt:variant>
      <vt:variant>
        <vt:i4>5</vt:i4>
      </vt:variant>
      <vt:variant>
        <vt:lpwstr>../../Rg1563/Local Settings/Temporary Internet Files/AppData/Local/Microsoft/Windows/Temporary Internet Files/Low/Content.IE5/VYR5GE1D/www.entsog.eu</vt:lpwstr>
      </vt:variant>
      <vt:variant>
        <vt:lpwstr/>
      </vt:variant>
      <vt:variant>
        <vt:i4>3276827</vt:i4>
      </vt:variant>
      <vt:variant>
        <vt:i4>0</vt:i4>
      </vt:variant>
      <vt:variant>
        <vt:i4>0</vt:i4>
      </vt:variant>
      <vt:variant>
        <vt:i4>5</vt:i4>
      </vt:variant>
      <vt:variant>
        <vt:lpwstr>mailto:info@entsog.eu</vt:lpwstr>
      </vt:variant>
      <vt:variant>
        <vt:lpwstr/>
      </vt:variant>
      <vt:variant>
        <vt:i4>917583</vt:i4>
      </vt:variant>
      <vt:variant>
        <vt:i4>0</vt:i4>
      </vt:variant>
      <vt:variant>
        <vt:i4>0</vt:i4>
      </vt:variant>
      <vt:variant>
        <vt:i4>5</vt:i4>
      </vt:variant>
      <vt:variant>
        <vt:lpwstr>http://www.entsog.eu/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dc:title>
  <dc:subject>Common transparency deliverables under REG (EC) 715/2009</dc:subject>
  <dc:creator>Andrea Cirlicova</dc:creator>
  <cp:lastModifiedBy>Vagn Erik Gaarde Pedersen</cp:lastModifiedBy>
  <cp:revision>5</cp:revision>
  <cp:lastPrinted>2011-08-03T08:07:00Z</cp:lastPrinted>
  <dcterms:created xsi:type="dcterms:W3CDTF">2011-08-03T08:21:00Z</dcterms:created>
  <dcterms:modified xsi:type="dcterms:W3CDTF">2011-08-03T10:50:00Z</dcterms:modified>
</cp:coreProperties>
</file>